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AF6B6A" w14:paraId="0845BED9" w14:textId="77777777">
        <w:tblPrEx>
          <w:tblCellMar>
            <w:top w:w="0" w:type="dxa"/>
            <w:bottom w:w="0" w:type="dxa"/>
          </w:tblCellMar>
        </w:tblPrEx>
        <w:trPr>
          <w:tblCellSpacing w:w="60" w:type="dxa"/>
        </w:trPr>
        <w:tc>
          <w:tcPr>
            <w:tcW w:w="1200" w:type="pct"/>
            <w:shd w:val="clear" w:color="auto" w:fill="E7F0F9"/>
          </w:tcPr>
          <w:p w14:paraId="2679A146" w14:textId="77777777" w:rsidR="00AF6B6A" w:rsidRDefault="00000000">
            <w:pPr>
              <w:spacing w:after="0" w:line="240" w:lineRule="auto"/>
            </w:pPr>
            <w:r>
              <w:rPr>
                <w:b/>
              </w:rPr>
              <w:t>RKP broj</w:t>
            </w:r>
          </w:p>
        </w:tc>
        <w:tc>
          <w:tcPr>
            <w:tcW w:w="0" w:type="auto"/>
            <w:shd w:val="clear" w:color="auto" w:fill="E7F0F9"/>
          </w:tcPr>
          <w:p w14:paraId="232CC9C8" w14:textId="77777777" w:rsidR="00AF6B6A" w:rsidRDefault="00000000">
            <w:pPr>
              <w:spacing w:after="0" w:line="240" w:lineRule="auto"/>
            </w:pPr>
            <w:r>
              <w:t>31350</w:t>
            </w:r>
          </w:p>
        </w:tc>
      </w:tr>
      <w:tr w:rsidR="00AF6B6A" w14:paraId="647F965E" w14:textId="77777777">
        <w:tblPrEx>
          <w:tblCellMar>
            <w:top w:w="0" w:type="dxa"/>
            <w:bottom w:w="0" w:type="dxa"/>
          </w:tblCellMar>
        </w:tblPrEx>
        <w:trPr>
          <w:tblCellSpacing w:w="60" w:type="dxa"/>
        </w:trPr>
        <w:tc>
          <w:tcPr>
            <w:tcW w:w="1200" w:type="pct"/>
            <w:shd w:val="clear" w:color="auto" w:fill="E7F0F9"/>
          </w:tcPr>
          <w:p w14:paraId="76B73F5B" w14:textId="77777777" w:rsidR="00AF6B6A" w:rsidRDefault="00000000">
            <w:pPr>
              <w:spacing w:after="0" w:line="240" w:lineRule="auto"/>
            </w:pPr>
            <w:r>
              <w:rPr>
                <w:b/>
              </w:rPr>
              <w:t>Naziv obveznika</w:t>
            </w:r>
          </w:p>
        </w:tc>
        <w:tc>
          <w:tcPr>
            <w:tcW w:w="0" w:type="auto"/>
            <w:shd w:val="clear" w:color="auto" w:fill="E7F0F9"/>
          </w:tcPr>
          <w:p w14:paraId="6F066C8F" w14:textId="77777777" w:rsidR="00AF6B6A" w:rsidRDefault="00000000">
            <w:pPr>
              <w:spacing w:after="0" w:line="240" w:lineRule="auto"/>
            </w:pPr>
            <w:r>
              <w:t>GRAD VARAŽDIN</w:t>
            </w:r>
          </w:p>
        </w:tc>
      </w:tr>
      <w:tr w:rsidR="00AF6B6A" w14:paraId="2352BAB9" w14:textId="77777777">
        <w:tblPrEx>
          <w:tblCellMar>
            <w:top w:w="0" w:type="dxa"/>
            <w:bottom w:w="0" w:type="dxa"/>
          </w:tblCellMar>
        </w:tblPrEx>
        <w:trPr>
          <w:tblCellSpacing w:w="60" w:type="dxa"/>
        </w:trPr>
        <w:tc>
          <w:tcPr>
            <w:tcW w:w="1200" w:type="pct"/>
            <w:shd w:val="clear" w:color="auto" w:fill="E7F0F9"/>
          </w:tcPr>
          <w:p w14:paraId="0DB88E0F" w14:textId="77777777" w:rsidR="00AF6B6A" w:rsidRDefault="00000000">
            <w:pPr>
              <w:spacing w:after="0" w:line="240" w:lineRule="auto"/>
            </w:pPr>
            <w:r>
              <w:rPr>
                <w:b/>
              </w:rPr>
              <w:t>Razina</w:t>
            </w:r>
          </w:p>
        </w:tc>
        <w:tc>
          <w:tcPr>
            <w:tcW w:w="0" w:type="auto"/>
            <w:shd w:val="clear" w:color="auto" w:fill="E7F0F9"/>
          </w:tcPr>
          <w:p w14:paraId="7C2E9D3A" w14:textId="77777777" w:rsidR="00AF6B6A" w:rsidRDefault="00000000">
            <w:pPr>
              <w:spacing w:after="0" w:line="240" w:lineRule="auto"/>
            </w:pPr>
            <w:r>
              <w:t>22</w:t>
            </w:r>
          </w:p>
        </w:tc>
      </w:tr>
    </w:tbl>
    <w:p w14:paraId="37D22067" w14:textId="77777777" w:rsidR="00AF6B6A" w:rsidRDefault="00000000">
      <w:r>
        <w:br/>
      </w:r>
    </w:p>
    <w:p w14:paraId="1331D70D" w14:textId="77777777" w:rsidR="00AF6B6A" w:rsidRDefault="00000000">
      <w:pPr>
        <w:spacing w:line="240" w:lineRule="auto"/>
        <w:jc w:val="center"/>
      </w:pPr>
      <w:r>
        <w:rPr>
          <w:b/>
          <w:sz w:val="28"/>
        </w:rPr>
        <w:t>BILJEŠKE UZ FINANCIJSKE IZVJEŠTAJE</w:t>
      </w:r>
    </w:p>
    <w:p w14:paraId="7A13DA12" w14:textId="77777777" w:rsidR="00AF6B6A" w:rsidRDefault="00000000">
      <w:pPr>
        <w:spacing w:line="240" w:lineRule="auto"/>
        <w:jc w:val="center"/>
      </w:pPr>
      <w:r>
        <w:rPr>
          <w:b/>
          <w:sz w:val="28"/>
        </w:rPr>
        <w:t>ZA RAZDOBLJE</w:t>
      </w:r>
    </w:p>
    <w:p w14:paraId="66A1E843" w14:textId="77777777" w:rsidR="00AF6B6A" w:rsidRDefault="00000000">
      <w:pPr>
        <w:spacing w:line="240" w:lineRule="auto"/>
        <w:jc w:val="center"/>
      </w:pPr>
      <w:r>
        <w:rPr>
          <w:b/>
          <w:sz w:val="28"/>
        </w:rPr>
        <w:t>I - XII 2025.</w:t>
      </w:r>
    </w:p>
    <w:p w14:paraId="6C5838C4" w14:textId="77777777" w:rsidR="00AF6B6A" w:rsidRDefault="00AF6B6A"/>
    <w:p w14:paraId="0F869CA9" w14:textId="77777777" w:rsidR="00AF6B6A" w:rsidRDefault="00000000">
      <w:pPr>
        <w:keepNext/>
        <w:spacing w:line="240" w:lineRule="auto"/>
        <w:jc w:val="center"/>
      </w:pPr>
      <w:r>
        <w:rPr>
          <w:b/>
          <w:sz w:val="28"/>
        </w:rPr>
        <w:t>Izvještaj o prihodima i rashodima, primicima i izdacima</w:t>
      </w:r>
    </w:p>
    <w:p w14:paraId="3A34B0C6" w14:textId="77777777" w:rsidR="00AF6B6A"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43EC0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6E6A4F"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F10C07"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672C48"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1A816C"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E40013"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E3ABB2" w14:textId="77777777" w:rsidR="00AF6B6A" w:rsidRDefault="00000000">
            <w:pPr>
              <w:keepNext/>
              <w:keepLines/>
              <w:spacing w:after="0" w:line="240" w:lineRule="auto"/>
              <w:jc w:val="center"/>
            </w:pPr>
            <w:r>
              <w:rPr>
                <w:b/>
                <w:sz w:val="18"/>
              </w:rPr>
              <w:t>Indeks (%)</w:t>
            </w:r>
          </w:p>
        </w:tc>
      </w:tr>
      <w:tr w:rsidR="00AF6B6A" w14:paraId="0A4C6D21" w14:textId="77777777">
        <w:tblPrEx>
          <w:tblCellMar>
            <w:top w:w="0" w:type="dxa"/>
            <w:bottom w:w="0" w:type="dxa"/>
          </w:tblCellMar>
        </w:tblPrEx>
        <w:trPr>
          <w:cantSplit/>
          <w:trHeight w:val="560"/>
        </w:trPr>
        <w:tc>
          <w:tcPr>
            <w:tcW w:w="700" w:type="dxa"/>
            <w:tcMar>
              <w:top w:w="0" w:type="dxa"/>
              <w:bottom w:w="0" w:type="dxa"/>
            </w:tcMar>
            <w:vAlign w:val="center"/>
          </w:tcPr>
          <w:p w14:paraId="06794856" w14:textId="77777777" w:rsidR="00AF6B6A" w:rsidRDefault="00000000">
            <w:pPr>
              <w:keepNext/>
              <w:keepLines/>
              <w:spacing w:after="0" w:line="240" w:lineRule="auto"/>
            </w:pPr>
            <w:r>
              <w:rPr>
                <w:sz w:val="18"/>
              </w:rPr>
              <w:t>6</w:t>
            </w:r>
          </w:p>
        </w:tc>
        <w:tc>
          <w:tcPr>
            <w:tcW w:w="3180" w:type="dxa"/>
            <w:tcMar>
              <w:top w:w="0" w:type="dxa"/>
              <w:bottom w:w="0" w:type="dxa"/>
            </w:tcMar>
            <w:vAlign w:val="center"/>
          </w:tcPr>
          <w:p w14:paraId="75D8B640" w14:textId="77777777" w:rsidR="00AF6B6A"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5D49922" w14:textId="77777777" w:rsidR="00AF6B6A" w:rsidRDefault="00000000">
            <w:pPr>
              <w:keepNext/>
              <w:keepLines/>
              <w:spacing w:after="0" w:line="240" w:lineRule="auto"/>
            </w:pPr>
            <w:r>
              <w:rPr>
                <w:sz w:val="18"/>
              </w:rPr>
              <w:t>6</w:t>
            </w:r>
          </w:p>
        </w:tc>
        <w:tc>
          <w:tcPr>
            <w:tcW w:w="1860" w:type="dxa"/>
            <w:tcMar>
              <w:top w:w="0" w:type="dxa"/>
              <w:bottom w:w="0" w:type="dxa"/>
            </w:tcMar>
            <w:vAlign w:val="center"/>
          </w:tcPr>
          <w:p w14:paraId="180365C6" w14:textId="77777777" w:rsidR="00AF6B6A" w:rsidRDefault="00000000">
            <w:pPr>
              <w:keepNext/>
              <w:keepLines/>
              <w:spacing w:after="0" w:line="240" w:lineRule="auto"/>
              <w:jc w:val="right"/>
            </w:pPr>
            <w:r>
              <w:rPr>
                <w:sz w:val="18"/>
              </w:rPr>
              <w:t>64.031.440,04</w:t>
            </w:r>
          </w:p>
        </w:tc>
        <w:tc>
          <w:tcPr>
            <w:tcW w:w="1860" w:type="dxa"/>
            <w:tcMar>
              <w:top w:w="0" w:type="dxa"/>
              <w:bottom w:w="0" w:type="dxa"/>
            </w:tcMar>
            <w:vAlign w:val="center"/>
          </w:tcPr>
          <w:p w14:paraId="55642E27" w14:textId="77777777" w:rsidR="00AF6B6A" w:rsidRDefault="00000000">
            <w:pPr>
              <w:keepNext/>
              <w:keepLines/>
              <w:spacing w:after="0" w:line="240" w:lineRule="auto"/>
              <w:jc w:val="right"/>
            </w:pPr>
            <w:r>
              <w:rPr>
                <w:sz w:val="18"/>
              </w:rPr>
              <w:t>72.735.678,32</w:t>
            </w:r>
          </w:p>
        </w:tc>
        <w:tc>
          <w:tcPr>
            <w:tcW w:w="700" w:type="dxa"/>
            <w:tcMar>
              <w:top w:w="0" w:type="dxa"/>
              <w:bottom w:w="0" w:type="dxa"/>
            </w:tcMar>
            <w:vAlign w:val="center"/>
          </w:tcPr>
          <w:p w14:paraId="7F4B641B" w14:textId="77777777" w:rsidR="00AF6B6A" w:rsidRDefault="00000000">
            <w:pPr>
              <w:keepNext/>
              <w:keepLines/>
              <w:spacing w:after="0" w:line="240" w:lineRule="auto"/>
              <w:jc w:val="right"/>
            </w:pPr>
            <w:r>
              <w:rPr>
                <w:sz w:val="18"/>
              </w:rPr>
              <w:t>113,6</w:t>
            </w:r>
          </w:p>
        </w:tc>
      </w:tr>
      <w:tr w:rsidR="00AF6B6A" w14:paraId="0635B082" w14:textId="77777777">
        <w:tblPrEx>
          <w:tblCellMar>
            <w:top w:w="0" w:type="dxa"/>
            <w:bottom w:w="0" w:type="dxa"/>
          </w:tblCellMar>
        </w:tblPrEx>
        <w:trPr>
          <w:cantSplit/>
          <w:trHeight w:val="560"/>
        </w:trPr>
        <w:tc>
          <w:tcPr>
            <w:tcW w:w="700" w:type="dxa"/>
            <w:tcMar>
              <w:top w:w="0" w:type="dxa"/>
              <w:bottom w:w="0" w:type="dxa"/>
            </w:tcMar>
            <w:vAlign w:val="center"/>
          </w:tcPr>
          <w:p w14:paraId="31032E48" w14:textId="77777777" w:rsidR="00AF6B6A" w:rsidRDefault="00000000">
            <w:pPr>
              <w:keepNext/>
              <w:keepLines/>
              <w:spacing w:after="0" w:line="240" w:lineRule="auto"/>
            </w:pPr>
            <w:r>
              <w:rPr>
                <w:sz w:val="18"/>
              </w:rPr>
              <w:t>3</w:t>
            </w:r>
          </w:p>
        </w:tc>
        <w:tc>
          <w:tcPr>
            <w:tcW w:w="3180" w:type="dxa"/>
            <w:tcMar>
              <w:top w:w="0" w:type="dxa"/>
              <w:bottom w:w="0" w:type="dxa"/>
            </w:tcMar>
            <w:vAlign w:val="center"/>
          </w:tcPr>
          <w:p w14:paraId="621348D6" w14:textId="77777777" w:rsidR="00AF6B6A"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8DE1AED" w14:textId="77777777" w:rsidR="00AF6B6A" w:rsidRDefault="00000000">
            <w:pPr>
              <w:keepNext/>
              <w:keepLines/>
              <w:spacing w:after="0" w:line="240" w:lineRule="auto"/>
            </w:pPr>
            <w:r>
              <w:rPr>
                <w:sz w:val="18"/>
              </w:rPr>
              <w:t>3</w:t>
            </w:r>
          </w:p>
        </w:tc>
        <w:tc>
          <w:tcPr>
            <w:tcW w:w="1860" w:type="dxa"/>
            <w:tcMar>
              <w:top w:w="0" w:type="dxa"/>
              <w:bottom w:w="0" w:type="dxa"/>
            </w:tcMar>
            <w:vAlign w:val="center"/>
          </w:tcPr>
          <w:p w14:paraId="1BBBC021" w14:textId="77777777" w:rsidR="00AF6B6A" w:rsidRDefault="00000000">
            <w:pPr>
              <w:keepNext/>
              <w:keepLines/>
              <w:spacing w:after="0" w:line="240" w:lineRule="auto"/>
              <w:jc w:val="right"/>
            </w:pPr>
            <w:r>
              <w:rPr>
                <w:sz w:val="18"/>
              </w:rPr>
              <w:t>51.615.548,10</w:t>
            </w:r>
          </w:p>
        </w:tc>
        <w:tc>
          <w:tcPr>
            <w:tcW w:w="1860" w:type="dxa"/>
            <w:tcMar>
              <w:top w:w="0" w:type="dxa"/>
              <w:bottom w:w="0" w:type="dxa"/>
            </w:tcMar>
            <w:vAlign w:val="center"/>
          </w:tcPr>
          <w:p w14:paraId="0CC67727" w14:textId="77777777" w:rsidR="00AF6B6A" w:rsidRDefault="00000000">
            <w:pPr>
              <w:keepNext/>
              <w:keepLines/>
              <w:spacing w:after="0" w:line="240" w:lineRule="auto"/>
              <w:jc w:val="right"/>
            </w:pPr>
            <w:r>
              <w:rPr>
                <w:sz w:val="18"/>
              </w:rPr>
              <w:t>60.542.306,84</w:t>
            </w:r>
          </w:p>
        </w:tc>
        <w:tc>
          <w:tcPr>
            <w:tcW w:w="700" w:type="dxa"/>
            <w:tcMar>
              <w:top w:w="0" w:type="dxa"/>
              <w:bottom w:w="0" w:type="dxa"/>
            </w:tcMar>
            <w:vAlign w:val="center"/>
          </w:tcPr>
          <w:p w14:paraId="34D5B962" w14:textId="77777777" w:rsidR="00AF6B6A" w:rsidRDefault="00000000">
            <w:pPr>
              <w:keepNext/>
              <w:keepLines/>
              <w:spacing w:after="0" w:line="240" w:lineRule="auto"/>
              <w:jc w:val="right"/>
            </w:pPr>
            <w:r>
              <w:rPr>
                <w:sz w:val="18"/>
              </w:rPr>
              <w:t>117,3</w:t>
            </w:r>
          </w:p>
        </w:tc>
      </w:tr>
      <w:tr w:rsidR="00AF6B6A" w14:paraId="3A3A07FB" w14:textId="77777777">
        <w:tblPrEx>
          <w:tblCellMar>
            <w:top w:w="0" w:type="dxa"/>
            <w:bottom w:w="0" w:type="dxa"/>
          </w:tblCellMar>
        </w:tblPrEx>
        <w:trPr>
          <w:cantSplit/>
          <w:trHeight w:val="560"/>
        </w:trPr>
        <w:tc>
          <w:tcPr>
            <w:tcW w:w="700" w:type="dxa"/>
            <w:tcMar>
              <w:top w:w="0" w:type="dxa"/>
              <w:bottom w:w="0" w:type="dxa"/>
            </w:tcMar>
            <w:vAlign w:val="center"/>
          </w:tcPr>
          <w:p w14:paraId="54C11EC7" w14:textId="77777777" w:rsidR="00AF6B6A" w:rsidRDefault="00AF6B6A">
            <w:pPr>
              <w:keepNext/>
              <w:keepLines/>
              <w:spacing w:after="0" w:line="240" w:lineRule="auto"/>
            </w:pPr>
          </w:p>
        </w:tc>
        <w:tc>
          <w:tcPr>
            <w:tcW w:w="3180" w:type="dxa"/>
            <w:tcMar>
              <w:top w:w="0" w:type="dxa"/>
              <w:bottom w:w="0" w:type="dxa"/>
            </w:tcMar>
            <w:vAlign w:val="center"/>
          </w:tcPr>
          <w:p w14:paraId="0FC690F0" w14:textId="77777777" w:rsidR="00AF6B6A"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4FB2F618" w14:textId="77777777" w:rsidR="00AF6B6A" w:rsidRDefault="00000000">
            <w:pPr>
              <w:keepNext/>
              <w:keepLines/>
              <w:spacing w:after="0" w:line="240" w:lineRule="auto"/>
            </w:pPr>
            <w:r>
              <w:rPr>
                <w:b/>
                <w:sz w:val="18"/>
              </w:rPr>
              <w:t>X001</w:t>
            </w:r>
          </w:p>
        </w:tc>
        <w:tc>
          <w:tcPr>
            <w:tcW w:w="1860" w:type="dxa"/>
            <w:tcMar>
              <w:top w:w="0" w:type="dxa"/>
              <w:bottom w:w="0" w:type="dxa"/>
            </w:tcMar>
            <w:vAlign w:val="center"/>
          </w:tcPr>
          <w:p w14:paraId="1F97C552" w14:textId="77777777" w:rsidR="00AF6B6A" w:rsidRDefault="00000000">
            <w:pPr>
              <w:keepNext/>
              <w:keepLines/>
              <w:spacing w:after="0" w:line="240" w:lineRule="auto"/>
              <w:jc w:val="right"/>
            </w:pPr>
            <w:r>
              <w:rPr>
                <w:b/>
                <w:sz w:val="18"/>
              </w:rPr>
              <w:t>12.415.891,94</w:t>
            </w:r>
          </w:p>
        </w:tc>
        <w:tc>
          <w:tcPr>
            <w:tcW w:w="1860" w:type="dxa"/>
            <w:tcMar>
              <w:top w:w="0" w:type="dxa"/>
              <w:bottom w:w="0" w:type="dxa"/>
            </w:tcMar>
            <w:vAlign w:val="center"/>
          </w:tcPr>
          <w:p w14:paraId="1C79A306" w14:textId="77777777" w:rsidR="00AF6B6A" w:rsidRDefault="00000000">
            <w:pPr>
              <w:keepNext/>
              <w:keepLines/>
              <w:spacing w:after="0" w:line="240" w:lineRule="auto"/>
              <w:jc w:val="right"/>
            </w:pPr>
            <w:r>
              <w:rPr>
                <w:b/>
                <w:sz w:val="18"/>
              </w:rPr>
              <w:t>12.193.371,48</w:t>
            </w:r>
          </w:p>
        </w:tc>
        <w:tc>
          <w:tcPr>
            <w:tcW w:w="700" w:type="dxa"/>
            <w:tcMar>
              <w:top w:w="0" w:type="dxa"/>
              <w:bottom w:w="0" w:type="dxa"/>
            </w:tcMar>
            <w:vAlign w:val="center"/>
          </w:tcPr>
          <w:p w14:paraId="016FD48E" w14:textId="77777777" w:rsidR="00AF6B6A" w:rsidRDefault="00000000">
            <w:pPr>
              <w:keepNext/>
              <w:keepLines/>
              <w:spacing w:after="0" w:line="240" w:lineRule="auto"/>
              <w:jc w:val="right"/>
            </w:pPr>
            <w:r>
              <w:rPr>
                <w:b/>
                <w:sz w:val="18"/>
              </w:rPr>
              <w:t>98,2</w:t>
            </w:r>
          </w:p>
        </w:tc>
      </w:tr>
      <w:tr w:rsidR="00AF6B6A" w14:paraId="47CF6841" w14:textId="77777777">
        <w:tblPrEx>
          <w:tblCellMar>
            <w:top w:w="0" w:type="dxa"/>
            <w:bottom w:w="0" w:type="dxa"/>
          </w:tblCellMar>
        </w:tblPrEx>
        <w:trPr>
          <w:cantSplit/>
          <w:trHeight w:val="560"/>
        </w:trPr>
        <w:tc>
          <w:tcPr>
            <w:tcW w:w="700" w:type="dxa"/>
            <w:tcMar>
              <w:top w:w="0" w:type="dxa"/>
              <w:bottom w:w="0" w:type="dxa"/>
            </w:tcMar>
            <w:vAlign w:val="center"/>
          </w:tcPr>
          <w:p w14:paraId="5F50EB18" w14:textId="77777777" w:rsidR="00AF6B6A" w:rsidRDefault="00000000">
            <w:pPr>
              <w:keepNext/>
              <w:keepLines/>
              <w:spacing w:after="0" w:line="240" w:lineRule="auto"/>
            </w:pPr>
            <w:r>
              <w:rPr>
                <w:sz w:val="18"/>
              </w:rPr>
              <w:t>7</w:t>
            </w:r>
          </w:p>
        </w:tc>
        <w:tc>
          <w:tcPr>
            <w:tcW w:w="3180" w:type="dxa"/>
            <w:tcMar>
              <w:top w:w="0" w:type="dxa"/>
              <w:bottom w:w="0" w:type="dxa"/>
            </w:tcMar>
            <w:vAlign w:val="center"/>
          </w:tcPr>
          <w:p w14:paraId="3E57E4E4" w14:textId="77777777" w:rsidR="00AF6B6A"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CF4CB41" w14:textId="77777777" w:rsidR="00AF6B6A" w:rsidRDefault="00000000">
            <w:pPr>
              <w:keepNext/>
              <w:keepLines/>
              <w:spacing w:after="0" w:line="240" w:lineRule="auto"/>
            </w:pPr>
            <w:r>
              <w:rPr>
                <w:sz w:val="18"/>
              </w:rPr>
              <w:t>7</w:t>
            </w:r>
          </w:p>
        </w:tc>
        <w:tc>
          <w:tcPr>
            <w:tcW w:w="1860" w:type="dxa"/>
            <w:tcMar>
              <w:top w:w="0" w:type="dxa"/>
              <w:bottom w:w="0" w:type="dxa"/>
            </w:tcMar>
            <w:vAlign w:val="center"/>
          </w:tcPr>
          <w:p w14:paraId="662660F1" w14:textId="77777777" w:rsidR="00AF6B6A" w:rsidRDefault="00000000">
            <w:pPr>
              <w:keepNext/>
              <w:keepLines/>
              <w:spacing w:after="0" w:line="240" w:lineRule="auto"/>
              <w:jc w:val="right"/>
            </w:pPr>
            <w:r>
              <w:rPr>
                <w:sz w:val="18"/>
              </w:rPr>
              <w:t>626.279,30</w:t>
            </w:r>
          </w:p>
        </w:tc>
        <w:tc>
          <w:tcPr>
            <w:tcW w:w="1860" w:type="dxa"/>
            <w:tcMar>
              <w:top w:w="0" w:type="dxa"/>
              <w:bottom w:w="0" w:type="dxa"/>
            </w:tcMar>
            <w:vAlign w:val="center"/>
          </w:tcPr>
          <w:p w14:paraId="6961DFB4" w14:textId="77777777" w:rsidR="00AF6B6A" w:rsidRDefault="00000000">
            <w:pPr>
              <w:keepNext/>
              <w:keepLines/>
              <w:spacing w:after="0" w:line="240" w:lineRule="auto"/>
              <w:jc w:val="right"/>
            </w:pPr>
            <w:r>
              <w:rPr>
                <w:sz w:val="18"/>
              </w:rPr>
              <w:t>973.979,40</w:t>
            </w:r>
          </w:p>
        </w:tc>
        <w:tc>
          <w:tcPr>
            <w:tcW w:w="700" w:type="dxa"/>
            <w:tcMar>
              <w:top w:w="0" w:type="dxa"/>
              <w:bottom w:w="0" w:type="dxa"/>
            </w:tcMar>
            <w:vAlign w:val="center"/>
          </w:tcPr>
          <w:p w14:paraId="6ACFFAA4" w14:textId="77777777" w:rsidR="00AF6B6A" w:rsidRDefault="00000000">
            <w:pPr>
              <w:keepNext/>
              <w:keepLines/>
              <w:spacing w:after="0" w:line="240" w:lineRule="auto"/>
              <w:jc w:val="right"/>
            </w:pPr>
            <w:r>
              <w:rPr>
                <w:sz w:val="18"/>
              </w:rPr>
              <w:t>155,5</w:t>
            </w:r>
          </w:p>
        </w:tc>
      </w:tr>
      <w:tr w:rsidR="00AF6B6A" w14:paraId="41300BCB" w14:textId="77777777">
        <w:tblPrEx>
          <w:tblCellMar>
            <w:top w:w="0" w:type="dxa"/>
            <w:bottom w:w="0" w:type="dxa"/>
          </w:tblCellMar>
        </w:tblPrEx>
        <w:trPr>
          <w:cantSplit/>
          <w:trHeight w:val="560"/>
        </w:trPr>
        <w:tc>
          <w:tcPr>
            <w:tcW w:w="700" w:type="dxa"/>
            <w:tcMar>
              <w:top w:w="0" w:type="dxa"/>
              <w:bottom w:w="0" w:type="dxa"/>
            </w:tcMar>
            <w:vAlign w:val="center"/>
          </w:tcPr>
          <w:p w14:paraId="7ADF570F" w14:textId="77777777" w:rsidR="00AF6B6A" w:rsidRDefault="00000000">
            <w:pPr>
              <w:keepNext/>
              <w:keepLines/>
              <w:spacing w:after="0" w:line="240" w:lineRule="auto"/>
            </w:pPr>
            <w:r>
              <w:rPr>
                <w:sz w:val="18"/>
              </w:rPr>
              <w:t>4</w:t>
            </w:r>
          </w:p>
        </w:tc>
        <w:tc>
          <w:tcPr>
            <w:tcW w:w="3180" w:type="dxa"/>
            <w:tcMar>
              <w:top w:w="0" w:type="dxa"/>
              <w:bottom w:w="0" w:type="dxa"/>
            </w:tcMar>
            <w:vAlign w:val="center"/>
          </w:tcPr>
          <w:p w14:paraId="651BC54C" w14:textId="77777777" w:rsidR="00AF6B6A"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56CCF58" w14:textId="77777777" w:rsidR="00AF6B6A" w:rsidRDefault="00000000">
            <w:pPr>
              <w:keepNext/>
              <w:keepLines/>
              <w:spacing w:after="0" w:line="240" w:lineRule="auto"/>
            </w:pPr>
            <w:r>
              <w:rPr>
                <w:sz w:val="18"/>
              </w:rPr>
              <w:t>4</w:t>
            </w:r>
          </w:p>
        </w:tc>
        <w:tc>
          <w:tcPr>
            <w:tcW w:w="1860" w:type="dxa"/>
            <w:tcMar>
              <w:top w:w="0" w:type="dxa"/>
              <w:bottom w:w="0" w:type="dxa"/>
            </w:tcMar>
            <w:vAlign w:val="center"/>
          </w:tcPr>
          <w:p w14:paraId="6A5B61E5" w14:textId="77777777" w:rsidR="00AF6B6A" w:rsidRDefault="00000000">
            <w:pPr>
              <w:keepNext/>
              <w:keepLines/>
              <w:spacing w:after="0" w:line="240" w:lineRule="auto"/>
              <w:jc w:val="right"/>
            </w:pPr>
            <w:r>
              <w:rPr>
                <w:sz w:val="18"/>
              </w:rPr>
              <w:t>17.522.955,04</w:t>
            </w:r>
          </w:p>
        </w:tc>
        <w:tc>
          <w:tcPr>
            <w:tcW w:w="1860" w:type="dxa"/>
            <w:tcMar>
              <w:top w:w="0" w:type="dxa"/>
              <w:bottom w:w="0" w:type="dxa"/>
            </w:tcMar>
            <w:vAlign w:val="center"/>
          </w:tcPr>
          <w:p w14:paraId="4EC78301" w14:textId="77777777" w:rsidR="00AF6B6A" w:rsidRDefault="00000000">
            <w:pPr>
              <w:keepNext/>
              <w:keepLines/>
              <w:spacing w:after="0" w:line="240" w:lineRule="auto"/>
              <w:jc w:val="right"/>
            </w:pPr>
            <w:r>
              <w:rPr>
                <w:sz w:val="18"/>
              </w:rPr>
              <w:t>19.168.521,42</w:t>
            </w:r>
          </w:p>
        </w:tc>
        <w:tc>
          <w:tcPr>
            <w:tcW w:w="700" w:type="dxa"/>
            <w:tcMar>
              <w:top w:w="0" w:type="dxa"/>
              <w:bottom w:w="0" w:type="dxa"/>
            </w:tcMar>
            <w:vAlign w:val="center"/>
          </w:tcPr>
          <w:p w14:paraId="56F99E05" w14:textId="77777777" w:rsidR="00AF6B6A" w:rsidRDefault="00000000">
            <w:pPr>
              <w:keepNext/>
              <w:keepLines/>
              <w:spacing w:after="0" w:line="240" w:lineRule="auto"/>
              <w:jc w:val="right"/>
            </w:pPr>
            <w:r>
              <w:rPr>
                <w:sz w:val="18"/>
              </w:rPr>
              <w:t>109,4</w:t>
            </w:r>
          </w:p>
        </w:tc>
      </w:tr>
      <w:tr w:rsidR="00AF6B6A" w14:paraId="45514319" w14:textId="77777777">
        <w:tblPrEx>
          <w:tblCellMar>
            <w:top w:w="0" w:type="dxa"/>
            <w:bottom w:w="0" w:type="dxa"/>
          </w:tblCellMar>
        </w:tblPrEx>
        <w:trPr>
          <w:cantSplit/>
          <w:trHeight w:val="560"/>
        </w:trPr>
        <w:tc>
          <w:tcPr>
            <w:tcW w:w="700" w:type="dxa"/>
            <w:tcMar>
              <w:top w:w="0" w:type="dxa"/>
              <w:bottom w:w="0" w:type="dxa"/>
            </w:tcMar>
            <w:vAlign w:val="center"/>
          </w:tcPr>
          <w:p w14:paraId="6B414CC0" w14:textId="77777777" w:rsidR="00AF6B6A" w:rsidRDefault="00AF6B6A">
            <w:pPr>
              <w:keepNext/>
              <w:keepLines/>
              <w:spacing w:after="0" w:line="240" w:lineRule="auto"/>
            </w:pPr>
          </w:p>
        </w:tc>
        <w:tc>
          <w:tcPr>
            <w:tcW w:w="3180" w:type="dxa"/>
            <w:tcMar>
              <w:top w:w="0" w:type="dxa"/>
              <w:bottom w:w="0" w:type="dxa"/>
            </w:tcMar>
            <w:vAlign w:val="center"/>
          </w:tcPr>
          <w:p w14:paraId="432A5211" w14:textId="77777777" w:rsidR="00AF6B6A"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99B3ACE" w14:textId="77777777" w:rsidR="00AF6B6A" w:rsidRDefault="00000000">
            <w:pPr>
              <w:keepNext/>
              <w:keepLines/>
              <w:spacing w:after="0" w:line="240" w:lineRule="auto"/>
            </w:pPr>
            <w:r>
              <w:rPr>
                <w:b/>
                <w:sz w:val="18"/>
              </w:rPr>
              <w:t>Y002</w:t>
            </w:r>
          </w:p>
        </w:tc>
        <w:tc>
          <w:tcPr>
            <w:tcW w:w="1860" w:type="dxa"/>
            <w:tcMar>
              <w:top w:w="0" w:type="dxa"/>
              <w:bottom w:w="0" w:type="dxa"/>
            </w:tcMar>
            <w:vAlign w:val="center"/>
          </w:tcPr>
          <w:p w14:paraId="632BC880" w14:textId="77777777" w:rsidR="00AF6B6A" w:rsidRDefault="00000000">
            <w:pPr>
              <w:keepNext/>
              <w:keepLines/>
              <w:spacing w:after="0" w:line="240" w:lineRule="auto"/>
              <w:jc w:val="right"/>
            </w:pPr>
            <w:r>
              <w:rPr>
                <w:b/>
                <w:sz w:val="18"/>
              </w:rPr>
              <w:t>16.896.675,74</w:t>
            </w:r>
          </w:p>
        </w:tc>
        <w:tc>
          <w:tcPr>
            <w:tcW w:w="1860" w:type="dxa"/>
            <w:tcMar>
              <w:top w:w="0" w:type="dxa"/>
              <w:bottom w:w="0" w:type="dxa"/>
            </w:tcMar>
            <w:vAlign w:val="center"/>
          </w:tcPr>
          <w:p w14:paraId="21B7C446" w14:textId="77777777" w:rsidR="00AF6B6A" w:rsidRDefault="00000000">
            <w:pPr>
              <w:keepNext/>
              <w:keepLines/>
              <w:spacing w:after="0" w:line="240" w:lineRule="auto"/>
              <w:jc w:val="right"/>
            </w:pPr>
            <w:r>
              <w:rPr>
                <w:b/>
                <w:sz w:val="18"/>
              </w:rPr>
              <w:t>18.194.542,02</w:t>
            </w:r>
          </w:p>
        </w:tc>
        <w:tc>
          <w:tcPr>
            <w:tcW w:w="700" w:type="dxa"/>
            <w:tcMar>
              <w:top w:w="0" w:type="dxa"/>
              <w:bottom w:w="0" w:type="dxa"/>
            </w:tcMar>
            <w:vAlign w:val="center"/>
          </w:tcPr>
          <w:p w14:paraId="21F168E1" w14:textId="77777777" w:rsidR="00AF6B6A" w:rsidRDefault="00000000">
            <w:pPr>
              <w:keepNext/>
              <w:keepLines/>
              <w:spacing w:after="0" w:line="240" w:lineRule="auto"/>
              <w:jc w:val="right"/>
            </w:pPr>
            <w:r>
              <w:rPr>
                <w:b/>
                <w:sz w:val="18"/>
              </w:rPr>
              <w:t>107,7</w:t>
            </w:r>
          </w:p>
        </w:tc>
      </w:tr>
      <w:tr w:rsidR="00AF6B6A" w14:paraId="2BE28D9E" w14:textId="77777777">
        <w:tblPrEx>
          <w:tblCellMar>
            <w:top w:w="0" w:type="dxa"/>
            <w:bottom w:w="0" w:type="dxa"/>
          </w:tblCellMar>
        </w:tblPrEx>
        <w:trPr>
          <w:cantSplit/>
          <w:trHeight w:val="560"/>
        </w:trPr>
        <w:tc>
          <w:tcPr>
            <w:tcW w:w="700" w:type="dxa"/>
            <w:tcMar>
              <w:top w:w="0" w:type="dxa"/>
              <w:bottom w:w="0" w:type="dxa"/>
            </w:tcMar>
            <w:vAlign w:val="center"/>
          </w:tcPr>
          <w:p w14:paraId="5987FB3C" w14:textId="77777777" w:rsidR="00AF6B6A" w:rsidRDefault="00000000">
            <w:pPr>
              <w:keepNext/>
              <w:keepLines/>
              <w:spacing w:after="0" w:line="240" w:lineRule="auto"/>
            </w:pPr>
            <w:r>
              <w:rPr>
                <w:sz w:val="18"/>
              </w:rPr>
              <w:t>8</w:t>
            </w:r>
          </w:p>
        </w:tc>
        <w:tc>
          <w:tcPr>
            <w:tcW w:w="3180" w:type="dxa"/>
            <w:tcMar>
              <w:top w:w="0" w:type="dxa"/>
              <w:bottom w:w="0" w:type="dxa"/>
            </w:tcMar>
            <w:vAlign w:val="center"/>
          </w:tcPr>
          <w:p w14:paraId="50BE0EE1" w14:textId="77777777" w:rsidR="00AF6B6A"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64D9EAA" w14:textId="77777777" w:rsidR="00AF6B6A" w:rsidRDefault="00000000">
            <w:pPr>
              <w:keepNext/>
              <w:keepLines/>
              <w:spacing w:after="0" w:line="240" w:lineRule="auto"/>
            </w:pPr>
            <w:r>
              <w:rPr>
                <w:sz w:val="18"/>
              </w:rPr>
              <w:t>8</w:t>
            </w:r>
          </w:p>
        </w:tc>
        <w:tc>
          <w:tcPr>
            <w:tcW w:w="1860" w:type="dxa"/>
            <w:tcMar>
              <w:top w:w="0" w:type="dxa"/>
              <w:bottom w:w="0" w:type="dxa"/>
            </w:tcMar>
            <w:vAlign w:val="center"/>
          </w:tcPr>
          <w:p w14:paraId="0ACC99D5" w14:textId="77777777" w:rsidR="00AF6B6A" w:rsidRDefault="00000000">
            <w:pPr>
              <w:keepNext/>
              <w:keepLines/>
              <w:spacing w:after="0" w:line="240" w:lineRule="auto"/>
              <w:jc w:val="right"/>
            </w:pPr>
            <w:r>
              <w:rPr>
                <w:sz w:val="18"/>
              </w:rPr>
              <w:t>0,00</w:t>
            </w:r>
          </w:p>
        </w:tc>
        <w:tc>
          <w:tcPr>
            <w:tcW w:w="1860" w:type="dxa"/>
            <w:tcMar>
              <w:top w:w="0" w:type="dxa"/>
              <w:bottom w:w="0" w:type="dxa"/>
            </w:tcMar>
            <w:vAlign w:val="center"/>
          </w:tcPr>
          <w:p w14:paraId="66362B16" w14:textId="77777777" w:rsidR="00AF6B6A" w:rsidRDefault="00000000">
            <w:pPr>
              <w:keepNext/>
              <w:keepLines/>
              <w:spacing w:after="0" w:line="240" w:lineRule="auto"/>
              <w:jc w:val="right"/>
            </w:pPr>
            <w:r>
              <w:rPr>
                <w:sz w:val="18"/>
              </w:rPr>
              <w:t>4.410.509,83</w:t>
            </w:r>
          </w:p>
        </w:tc>
        <w:tc>
          <w:tcPr>
            <w:tcW w:w="700" w:type="dxa"/>
            <w:tcMar>
              <w:top w:w="0" w:type="dxa"/>
              <w:bottom w:w="0" w:type="dxa"/>
            </w:tcMar>
            <w:vAlign w:val="center"/>
          </w:tcPr>
          <w:p w14:paraId="471FD95D" w14:textId="77777777" w:rsidR="00AF6B6A" w:rsidRDefault="00000000">
            <w:pPr>
              <w:keepNext/>
              <w:keepLines/>
              <w:spacing w:after="0" w:line="240" w:lineRule="auto"/>
              <w:jc w:val="right"/>
            </w:pPr>
            <w:r>
              <w:rPr>
                <w:sz w:val="18"/>
              </w:rPr>
              <w:t>-</w:t>
            </w:r>
          </w:p>
        </w:tc>
      </w:tr>
      <w:tr w:rsidR="00AF6B6A" w14:paraId="43943AFD" w14:textId="77777777">
        <w:tblPrEx>
          <w:tblCellMar>
            <w:top w:w="0" w:type="dxa"/>
            <w:bottom w:w="0" w:type="dxa"/>
          </w:tblCellMar>
        </w:tblPrEx>
        <w:trPr>
          <w:cantSplit/>
          <w:trHeight w:val="560"/>
        </w:trPr>
        <w:tc>
          <w:tcPr>
            <w:tcW w:w="700" w:type="dxa"/>
            <w:tcMar>
              <w:top w:w="0" w:type="dxa"/>
              <w:bottom w:w="0" w:type="dxa"/>
            </w:tcMar>
            <w:vAlign w:val="center"/>
          </w:tcPr>
          <w:p w14:paraId="2D5FAF28" w14:textId="77777777" w:rsidR="00AF6B6A" w:rsidRDefault="00000000">
            <w:pPr>
              <w:keepNext/>
              <w:keepLines/>
              <w:spacing w:after="0" w:line="240" w:lineRule="auto"/>
            </w:pPr>
            <w:r>
              <w:rPr>
                <w:sz w:val="18"/>
              </w:rPr>
              <w:t>5</w:t>
            </w:r>
          </w:p>
        </w:tc>
        <w:tc>
          <w:tcPr>
            <w:tcW w:w="3180" w:type="dxa"/>
            <w:tcMar>
              <w:top w:w="0" w:type="dxa"/>
              <w:bottom w:w="0" w:type="dxa"/>
            </w:tcMar>
            <w:vAlign w:val="center"/>
          </w:tcPr>
          <w:p w14:paraId="4ACF5351" w14:textId="77777777" w:rsidR="00AF6B6A"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EBC36B3" w14:textId="77777777" w:rsidR="00AF6B6A" w:rsidRDefault="00000000">
            <w:pPr>
              <w:keepNext/>
              <w:keepLines/>
              <w:spacing w:after="0" w:line="240" w:lineRule="auto"/>
            </w:pPr>
            <w:r>
              <w:rPr>
                <w:sz w:val="18"/>
              </w:rPr>
              <w:t>5</w:t>
            </w:r>
          </w:p>
        </w:tc>
        <w:tc>
          <w:tcPr>
            <w:tcW w:w="1860" w:type="dxa"/>
            <w:tcMar>
              <w:top w:w="0" w:type="dxa"/>
              <w:bottom w:w="0" w:type="dxa"/>
            </w:tcMar>
            <w:vAlign w:val="center"/>
          </w:tcPr>
          <w:p w14:paraId="658B368F" w14:textId="77777777" w:rsidR="00AF6B6A" w:rsidRDefault="00000000">
            <w:pPr>
              <w:keepNext/>
              <w:keepLines/>
              <w:spacing w:after="0" w:line="240" w:lineRule="auto"/>
              <w:jc w:val="right"/>
            </w:pPr>
            <w:r>
              <w:rPr>
                <w:sz w:val="18"/>
              </w:rPr>
              <w:t>859.353,45</w:t>
            </w:r>
          </w:p>
        </w:tc>
        <w:tc>
          <w:tcPr>
            <w:tcW w:w="1860" w:type="dxa"/>
            <w:tcMar>
              <w:top w:w="0" w:type="dxa"/>
              <w:bottom w:w="0" w:type="dxa"/>
            </w:tcMar>
            <w:vAlign w:val="center"/>
          </w:tcPr>
          <w:p w14:paraId="28B8FB5F" w14:textId="77777777" w:rsidR="00AF6B6A" w:rsidRDefault="00000000">
            <w:pPr>
              <w:keepNext/>
              <w:keepLines/>
              <w:spacing w:after="0" w:line="240" w:lineRule="auto"/>
              <w:jc w:val="right"/>
            </w:pPr>
            <w:r>
              <w:rPr>
                <w:sz w:val="18"/>
              </w:rPr>
              <w:t>1.470.313,80</w:t>
            </w:r>
          </w:p>
        </w:tc>
        <w:tc>
          <w:tcPr>
            <w:tcW w:w="700" w:type="dxa"/>
            <w:tcMar>
              <w:top w:w="0" w:type="dxa"/>
              <w:bottom w:w="0" w:type="dxa"/>
            </w:tcMar>
            <w:vAlign w:val="center"/>
          </w:tcPr>
          <w:p w14:paraId="5B9022CF" w14:textId="77777777" w:rsidR="00AF6B6A" w:rsidRDefault="00000000">
            <w:pPr>
              <w:keepNext/>
              <w:keepLines/>
              <w:spacing w:after="0" w:line="240" w:lineRule="auto"/>
              <w:jc w:val="right"/>
            </w:pPr>
            <w:r>
              <w:rPr>
                <w:sz w:val="18"/>
              </w:rPr>
              <w:t>171,1</w:t>
            </w:r>
          </w:p>
        </w:tc>
      </w:tr>
      <w:tr w:rsidR="00AF6B6A" w14:paraId="614A814D" w14:textId="77777777">
        <w:tblPrEx>
          <w:tblCellMar>
            <w:top w:w="0" w:type="dxa"/>
            <w:bottom w:w="0" w:type="dxa"/>
          </w:tblCellMar>
        </w:tblPrEx>
        <w:trPr>
          <w:cantSplit/>
          <w:trHeight w:val="560"/>
        </w:trPr>
        <w:tc>
          <w:tcPr>
            <w:tcW w:w="700" w:type="dxa"/>
            <w:tcMar>
              <w:top w:w="0" w:type="dxa"/>
              <w:bottom w:w="0" w:type="dxa"/>
            </w:tcMar>
            <w:vAlign w:val="center"/>
          </w:tcPr>
          <w:p w14:paraId="28A7C2F2" w14:textId="77777777" w:rsidR="00AF6B6A" w:rsidRDefault="00AF6B6A">
            <w:pPr>
              <w:keepNext/>
              <w:keepLines/>
              <w:spacing w:after="0" w:line="240" w:lineRule="auto"/>
            </w:pPr>
          </w:p>
        </w:tc>
        <w:tc>
          <w:tcPr>
            <w:tcW w:w="3180" w:type="dxa"/>
            <w:tcMar>
              <w:top w:w="0" w:type="dxa"/>
              <w:bottom w:w="0" w:type="dxa"/>
            </w:tcMar>
            <w:vAlign w:val="center"/>
          </w:tcPr>
          <w:p w14:paraId="46EE78E2" w14:textId="77777777" w:rsidR="00AF6B6A"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45A04E11" w14:textId="77777777" w:rsidR="00AF6B6A" w:rsidRDefault="00000000">
            <w:pPr>
              <w:keepNext/>
              <w:keepLines/>
              <w:spacing w:after="0" w:line="240" w:lineRule="auto"/>
            </w:pPr>
            <w:r>
              <w:rPr>
                <w:b/>
                <w:sz w:val="18"/>
              </w:rPr>
              <w:t>X003</w:t>
            </w:r>
          </w:p>
        </w:tc>
        <w:tc>
          <w:tcPr>
            <w:tcW w:w="1860" w:type="dxa"/>
            <w:tcMar>
              <w:top w:w="0" w:type="dxa"/>
              <w:bottom w:w="0" w:type="dxa"/>
            </w:tcMar>
            <w:vAlign w:val="center"/>
          </w:tcPr>
          <w:p w14:paraId="31DFC575" w14:textId="77777777" w:rsidR="00AF6B6A" w:rsidRDefault="00000000">
            <w:pPr>
              <w:keepNext/>
              <w:keepLines/>
              <w:spacing w:after="0" w:line="240" w:lineRule="auto"/>
              <w:jc w:val="right"/>
            </w:pPr>
            <w:r>
              <w:rPr>
                <w:b/>
                <w:sz w:val="18"/>
              </w:rPr>
              <w:t>0,00</w:t>
            </w:r>
          </w:p>
        </w:tc>
        <w:tc>
          <w:tcPr>
            <w:tcW w:w="1860" w:type="dxa"/>
            <w:tcMar>
              <w:top w:w="0" w:type="dxa"/>
              <w:bottom w:w="0" w:type="dxa"/>
            </w:tcMar>
            <w:vAlign w:val="center"/>
          </w:tcPr>
          <w:p w14:paraId="70A6E6D4" w14:textId="77777777" w:rsidR="00AF6B6A" w:rsidRDefault="00000000">
            <w:pPr>
              <w:keepNext/>
              <w:keepLines/>
              <w:spacing w:after="0" w:line="240" w:lineRule="auto"/>
              <w:jc w:val="right"/>
            </w:pPr>
            <w:r>
              <w:rPr>
                <w:b/>
                <w:sz w:val="18"/>
              </w:rPr>
              <w:t>2.940.196,03</w:t>
            </w:r>
          </w:p>
        </w:tc>
        <w:tc>
          <w:tcPr>
            <w:tcW w:w="700" w:type="dxa"/>
            <w:tcMar>
              <w:top w:w="0" w:type="dxa"/>
              <w:bottom w:w="0" w:type="dxa"/>
            </w:tcMar>
            <w:vAlign w:val="center"/>
          </w:tcPr>
          <w:p w14:paraId="4DF23E3D" w14:textId="77777777" w:rsidR="00AF6B6A" w:rsidRDefault="00000000">
            <w:pPr>
              <w:keepNext/>
              <w:keepLines/>
              <w:spacing w:after="0" w:line="240" w:lineRule="auto"/>
              <w:jc w:val="right"/>
            </w:pPr>
            <w:r>
              <w:rPr>
                <w:b/>
                <w:sz w:val="18"/>
              </w:rPr>
              <w:t>-</w:t>
            </w:r>
          </w:p>
        </w:tc>
      </w:tr>
      <w:tr w:rsidR="00AF6B6A" w14:paraId="3A18DE6D" w14:textId="77777777">
        <w:tblPrEx>
          <w:tblCellMar>
            <w:top w:w="0" w:type="dxa"/>
            <w:bottom w:w="0" w:type="dxa"/>
          </w:tblCellMar>
        </w:tblPrEx>
        <w:trPr>
          <w:cantSplit/>
          <w:trHeight w:val="560"/>
        </w:trPr>
        <w:tc>
          <w:tcPr>
            <w:tcW w:w="700" w:type="dxa"/>
            <w:tcMar>
              <w:top w:w="0" w:type="dxa"/>
              <w:bottom w:w="0" w:type="dxa"/>
            </w:tcMar>
            <w:vAlign w:val="center"/>
          </w:tcPr>
          <w:p w14:paraId="024F4A55" w14:textId="77777777" w:rsidR="00AF6B6A" w:rsidRDefault="00AF6B6A">
            <w:pPr>
              <w:keepNext/>
              <w:keepLines/>
              <w:spacing w:after="0" w:line="240" w:lineRule="auto"/>
            </w:pPr>
          </w:p>
        </w:tc>
        <w:tc>
          <w:tcPr>
            <w:tcW w:w="3180" w:type="dxa"/>
            <w:tcMar>
              <w:top w:w="0" w:type="dxa"/>
              <w:bottom w:w="0" w:type="dxa"/>
            </w:tcMar>
            <w:vAlign w:val="center"/>
          </w:tcPr>
          <w:p w14:paraId="36E34CD0" w14:textId="77777777" w:rsidR="00AF6B6A"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4906884D" w14:textId="77777777" w:rsidR="00AF6B6A" w:rsidRDefault="00000000">
            <w:pPr>
              <w:keepNext/>
              <w:keepLines/>
              <w:spacing w:after="0" w:line="240" w:lineRule="auto"/>
            </w:pPr>
            <w:r>
              <w:rPr>
                <w:b/>
                <w:sz w:val="18"/>
              </w:rPr>
              <w:t>Y005</w:t>
            </w:r>
          </w:p>
        </w:tc>
        <w:tc>
          <w:tcPr>
            <w:tcW w:w="1860" w:type="dxa"/>
            <w:tcMar>
              <w:top w:w="0" w:type="dxa"/>
              <w:bottom w:w="0" w:type="dxa"/>
            </w:tcMar>
            <w:vAlign w:val="center"/>
          </w:tcPr>
          <w:p w14:paraId="1AA7E06B" w14:textId="77777777" w:rsidR="00AF6B6A" w:rsidRDefault="00000000">
            <w:pPr>
              <w:keepNext/>
              <w:keepLines/>
              <w:spacing w:after="0" w:line="240" w:lineRule="auto"/>
              <w:jc w:val="right"/>
            </w:pPr>
            <w:r>
              <w:rPr>
                <w:b/>
                <w:sz w:val="18"/>
              </w:rPr>
              <w:t>5.340.137,25</w:t>
            </w:r>
          </w:p>
        </w:tc>
        <w:tc>
          <w:tcPr>
            <w:tcW w:w="1860" w:type="dxa"/>
            <w:tcMar>
              <w:top w:w="0" w:type="dxa"/>
              <w:bottom w:w="0" w:type="dxa"/>
            </w:tcMar>
            <w:vAlign w:val="center"/>
          </w:tcPr>
          <w:p w14:paraId="355938AC" w14:textId="77777777" w:rsidR="00AF6B6A" w:rsidRDefault="00000000">
            <w:pPr>
              <w:keepNext/>
              <w:keepLines/>
              <w:spacing w:after="0" w:line="240" w:lineRule="auto"/>
              <w:jc w:val="right"/>
            </w:pPr>
            <w:r>
              <w:rPr>
                <w:b/>
                <w:sz w:val="18"/>
              </w:rPr>
              <w:t>3.060.974,51</w:t>
            </w:r>
          </w:p>
        </w:tc>
        <w:tc>
          <w:tcPr>
            <w:tcW w:w="700" w:type="dxa"/>
            <w:tcMar>
              <w:top w:w="0" w:type="dxa"/>
              <w:bottom w:w="0" w:type="dxa"/>
            </w:tcMar>
            <w:vAlign w:val="center"/>
          </w:tcPr>
          <w:p w14:paraId="3ADFE31F" w14:textId="77777777" w:rsidR="00AF6B6A" w:rsidRDefault="00000000">
            <w:pPr>
              <w:keepNext/>
              <w:keepLines/>
              <w:spacing w:after="0" w:line="240" w:lineRule="auto"/>
              <w:jc w:val="right"/>
            </w:pPr>
            <w:r>
              <w:rPr>
                <w:b/>
                <w:sz w:val="18"/>
              </w:rPr>
              <w:t>57,3</w:t>
            </w:r>
          </w:p>
        </w:tc>
      </w:tr>
    </w:tbl>
    <w:p w14:paraId="6719BDFB" w14:textId="77777777" w:rsidR="00AF6B6A" w:rsidRDefault="00AF6B6A">
      <w:pPr>
        <w:spacing w:after="0"/>
      </w:pPr>
    </w:p>
    <w:p w14:paraId="619A43D6" w14:textId="77777777" w:rsidR="00AF6B6A" w:rsidRDefault="00000000">
      <w:pPr>
        <w:jc w:val="both"/>
      </w:pPr>
      <w:r>
        <w:t xml:space="preserve">U razdoblju od 01. siječnja do 31. prosinca 2025. godine prihodi poslovanja ostvareni su u iznosu od 72.735.678,32 EUR. Najznačajnije povećanje prihoda bilježi se na povećanju stalnih poreza na nepokretnu imovinu i povremenih poreza na imovinu zbog povećanog broja izdanih rješenja koja su i naplaćena. Osim toga, bilježi se značajan prihod za pripremne radove i odvoženje i oporabu otpada prema Ugovoru o sanaciji zatvorenog odlagališta </w:t>
      </w:r>
      <w:r>
        <w:lastRenderedPageBreak/>
        <w:t>neopasnog otpada na lokaciji gospodarska zona Brezje koje nam doznačuje Fond za zaštitu okoliša i energetsku učinkovitost.</w:t>
      </w:r>
    </w:p>
    <w:p w14:paraId="76295A08" w14:textId="77777777" w:rsidR="00AF6B6A" w:rsidRDefault="00000000">
      <w:pPr>
        <w:jc w:val="both"/>
      </w:pPr>
      <w:r>
        <w:t>Rashodi poslovanja iznose 60.542.306,84 EUR te se bilježi najznačajnije povećanje rashoda na plaćama zbog povećanja osnovice u toku 2025. godine, povećanje na komunalnim uslugama,  povećanje na naknadama za rad predstavničkih i izvršnih tijela, povjerenstava i slično zbog održavanja Lokalnih izbora u svibnju 2025. godine te povećanja na prijenosima proračunskim korisnicima iz nadležnog proračuna za nabavu nefinancijske imovine  zbog nabave vatrogasnog vozila za Javnu vatrogasnu postrojbu grada Varaždina, kao i zbog učešća grada Varaždina u energetskoj obnovi Starog grada, projekta koji vodi Gradski muzej Varaždin te obnove krovišta na IV. Osnovnoj školi Varaždin. Ukupni višak prihoda poslovanja iznosi 12.193.371,48 EUR.</w:t>
      </w:r>
    </w:p>
    <w:p w14:paraId="2B6FD753" w14:textId="77777777" w:rsidR="00AF6B6A" w:rsidRDefault="00000000">
      <w:pPr>
        <w:jc w:val="both"/>
      </w:pPr>
      <w:r>
        <w:t>Ukupni prihodi od prodaje nefinancijske imovine iznose 973.979,40 EUR te su značajno veći u odnosu na prošlo razdoblje zbog prodaje nekoliko većih zemljišta. Postoji veliko odstupanje na kontu zemljišta zbog prodaje nekoliko zemljišta, a postoji i smanjenje na kontu stambenih objekata budući da je u prošloj godini evidentiran prihod po ugovoru o prodaji stana koji je u cijelosti plaćen prilikom kupnje.</w:t>
      </w:r>
    </w:p>
    <w:p w14:paraId="7CA44CB6" w14:textId="77777777" w:rsidR="00AF6B6A" w:rsidRDefault="00000000">
      <w:pPr>
        <w:jc w:val="both"/>
      </w:pPr>
      <w:r>
        <w:t>Rashodi za nabavu nefinancijske imovine bilježe najveće povećanje zbog rashoda za pripremne radove i odvoženje i oporabu otpada prema Ugovoru o sanaciji zatvorenog odlagališta neopasnog otpada na lokaciji gospodarska zona Brezje, kao i za financiranje nabave  opreme, radova i nadzora ugradnje sustava rasvjete te pratećih nadzornih sustava u sklopu projekta „Modernizacija sustava javne rasvjete na području grada Varaždina". Manjak prihoda od nefinancijske imovine iznosi 18.194.542,02 EUR.</w:t>
      </w:r>
    </w:p>
    <w:p w14:paraId="461FDFD9" w14:textId="77777777" w:rsidR="00AF6B6A" w:rsidRDefault="00000000">
      <w:pPr>
        <w:jc w:val="both"/>
      </w:pPr>
      <w:r>
        <w:t>Primici od financijske imovine i zaduživanje  u razdoblju 01.01.-31.12.2025. godini iznose 4.410.509,83 EUR i odnose se na sredstva kredita primljenog od Hrvatske banke za obnovu i razvitak za financiranje projekta „Modernizacija sustava javne rasvjete na području grada Varaždina“, odnosno za financiranje nabave opreme, radova i nadzora ugradnje sustava rasvjete te pratećih nadzornih sustava te kredita primljenih od Zagrebačke banke za energetsku obnovu I. i III. Osnovne škole Varaždin, kao i za energetsku obnovu Dječjeg vrtića Varaždin-objekt Biškupec. Ukupni izdaci za financijsku imovinu iznose 1.470.313,80 EUR. Radi se o otplati glavnice za kredite Grada Varaždina (za otplatu kredita za projekte energetske obnove II. i V. osnovne škole Varaždin i otplatu kredita za refinanciranje iz 2022. godine) u iznosu od 540.313,80 eura. Osim toga,  poduzeću TD Čistoća d.o.o. Varaždin, odobrene su pozajmice u ukupnom iznosu od 930.000,00 eura u svrhu održavanja likvidnosti tvrtke. Višak prihoda od financijske imovine i zaduživanja iznosi 2.940.196,03 EUR.</w:t>
      </w:r>
    </w:p>
    <w:p w14:paraId="4FDB59E1" w14:textId="77777777" w:rsidR="00AF6B6A" w:rsidRDefault="00000000">
      <w:pPr>
        <w:jc w:val="both"/>
      </w:pPr>
      <w:r>
        <w:t>Preneseni višak prihoda i primitaka iznosi 1.140.790,73 EUR, dok je na kraju ovog razdoblja ostvaren manjak prihoda i primitaka u iznosu od 3.060.974,51 EUR, pa je na kraju 2025. godine ostvaren manjak u iznosu od 1.920.183,78 eura. </w:t>
      </w:r>
    </w:p>
    <w:p w14:paraId="2D13E29C" w14:textId="77777777" w:rsidR="00AF6B6A" w:rsidRDefault="00000000">
      <w:pPr>
        <w:jc w:val="both"/>
      </w:pPr>
      <w:r>
        <w:t xml:space="preserve">Na dan 31.12.2024. ostvaren je višak prihoda poslovanja u iznosu od 1.140.716,06 EUR. Taj višak nije jednak prenesenom višku na kraju 2025. godine, budući da je višak prihoda poslovanja u 2025. godini povećan za 74,67 eura, koji su rezultat usklađenja sa dobavljačima. </w:t>
      </w:r>
      <w:r>
        <w:lastRenderedPageBreak/>
        <w:t>Naime, uskladom je utvrđeno da je pogrešno iskazana obveza u 2024. godini te je dobavljač osporio navedenu obvezu pa je zbog toga rezultat poslovanja povećan za navedeni iznos. Isto tako, rezultat po viškovima/manjkovima nije jednak viškovima i manjkovima u PR-RAS-u, budući da je rađena obvezna korekcija rezultata koja će biti pojašnjena u nastavku.</w:t>
      </w:r>
    </w:p>
    <w:p w14:paraId="6EE9344A" w14:textId="77777777" w:rsidR="00AF6B6A" w:rsidRDefault="00000000">
      <w:r>
        <w:br/>
      </w:r>
    </w:p>
    <w:p w14:paraId="0387EEE0" w14:textId="77777777" w:rsidR="00AF6B6A"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609B55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E3C1BF"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8C82F9"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8941FC"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B50482"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7AF6A0"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54144C" w14:textId="77777777" w:rsidR="00AF6B6A" w:rsidRDefault="00000000">
            <w:pPr>
              <w:keepNext/>
              <w:keepLines/>
              <w:spacing w:after="0" w:line="240" w:lineRule="auto"/>
              <w:jc w:val="center"/>
            </w:pPr>
            <w:r>
              <w:rPr>
                <w:b/>
                <w:sz w:val="18"/>
              </w:rPr>
              <w:t>Indeks (%)</w:t>
            </w:r>
          </w:p>
        </w:tc>
      </w:tr>
      <w:tr w:rsidR="00AF6B6A" w14:paraId="615220D3" w14:textId="77777777">
        <w:tblPrEx>
          <w:tblCellMar>
            <w:top w:w="0" w:type="dxa"/>
            <w:bottom w:w="0" w:type="dxa"/>
          </w:tblCellMar>
        </w:tblPrEx>
        <w:trPr>
          <w:cantSplit/>
          <w:trHeight w:val="560"/>
        </w:trPr>
        <w:tc>
          <w:tcPr>
            <w:tcW w:w="700" w:type="dxa"/>
            <w:tcMar>
              <w:top w:w="0" w:type="dxa"/>
              <w:bottom w:w="0" w:type="dxa"/>
            </w:tcMar>
            <w:vAlign w:val="center"/>
          </w:tcPr>
          <w:p w14:paraId="4230561B" w14:textId="77777777" w:rsidR="00AF6B6A" w:rsidRDefault="00000000">
            <w:pPr>
              <w:keepNext/>
              <w:keepLines/>
              <w:spacing w:after="0" w:line="240" w:lineRule="auto"/>
            </w:pPr>
            <w:r>
              <w:rPr>
                <w:sz w:val="18"/>
              </w:rPr>
              <w:t>6</w:t>
            </w:r>
          </w:p>
        </w:tc>
        <w:tc>
          <w:tcPr>
            <w:tcW w:w="3180" w:type="dxa"/>
            <w:tcMar>
              <w:top w:w="0" w:type="dxa"/>
              <w:bottom w:w="0" w:type="dxa"/>
            </w:tcMar>
            <w:vAlign w:val="center"/>
          </w:tcPr>
          <w:p w14:paraId="53641D21" w14:textId="77777777" w:rsidR="00AF6B6A"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2BE543A" w14:textId="77777777" w:rsidR="00AF6B6A" w:rsidRDefault="00000000">
            <w:pPr>
              <w:keepNext/>
              <w:keepLines/>
              <w:spacing w:after="0" w:line="240" w:lineRule="auto"/>
            </w:pPr>
            <w:r>
              <w:rPr>
                <w:sz w:val="18"/>
              </w:rPr>
              <w:t>6</w:t>
            </w:r>
          </w:p>
        </w:tc>
        <w:tc>
          <w:tcPr>
            <w:tcW w:w="1860" w:type="dxa"/>
            <w:tcMar>
              <w:top w:w="0" w:type="dxa"/>
              <w:bottom w:w="0" w:type="dxa"/>
            </w:tcMar>
            <w:vAlign w:val="center"/>
          </w:tcPr>
          <w:p w14:paraId="1AB21BBA" w14:textId="77777777" w:rsidR="00AF6B6A" w:rsidRDefault="00000000">
            <w:pPr>
              <w:keepNext/>
              <w:keepLines/>
              <w:spacing w:after="0" w:line="240" w:lineRule="auto"/>
              <w:jc w:val="right"/>
            </w:pPr>
            <w:r>
              <w:rPr>
                <w:sz w:val="18"/>
              </w:rPr>
              <w:t>64.031.440,04</w:t>
            </w:r>
          </w:p>
        </w:tc>
        <w:tc>
          <w:tcPr>
            <w:tcW w:w="1860" w:type="dxa"/>
            <w:tcMar>
              <w:top w:w="0" w:type="dxa"/>
              <w:bottom w:w="0" w:type="dxa"/>
            </w:tcMar>
            <w:vAlign w:val="center"/>
          </w:tcPr>
          <w:p w14:paraId="3DDE5C34" w14:textId="77777777" w:rsidR="00AF6B6A" w:rsidRDefault="00000000">
            <w:pPr>
              <w:keepNext/>
              <w:keepLines/>
              <w:spacing w:after="0" w:line="240" w:lineRule="auto"/>
              <w:jc w:val="right"/>
            </w:pPr>
            <w:r>
              <w:rPr>
                <w:sz w:val="18"/>
              </w:rPr>
              <w:t>72.735.678,32</w:t>
            </w:r>
          </w:p>
        </w:tc>
        <w:tc>
          <w:tcPr>
            <w:tcW w:w="700" w:type="dxa"/>
            <w:tcMar>
              <w:top w:w="0" w:type="dxa"/>
              <w:bottom w:w="0" w:type="dxa"/>
            </w:tcMar>
            <w:vAlign w:val="center"/>
          </w:tcPr>
          <w:p w14:paraId="1684021F" w14:textId="77777777" w:rsidR="00AF6B6A" w:rsidRDefault="00000000">
            <w:pPr>
              <w:keepNext/>
              <w:keepLines/>
              <w:spacing w:after="0" w:line="240" w:lineRule="auto"/>
              <w:jc w:val="right"/>
            </w:pPr>
            <w:r>
              <w:rPr>
                <w:sz w:val="18"/>
              </w:rPr>
              <w:t>113,6</w:t>
            </w:r>
          </w:p>
        </w:tc>
      </w:tr>
    </w:tbl>
    <w:p w14:paraId="26C21605" w14:textId="77777777" w:rsidR="00AF6B6A" w:rsidRDefault="00AF6B6A">
      <w:pPr>
        <w:spacing w:after="0"/>
      </w:pPr>
    </w:p>
    <w:p w14:paraId="7ED38FB6" w14:textId="77777777" w:rsidR="00AF6B6A" w:rsidRDefault="00000000">
      <w:pPr>
        <w:jc w:val="both"/>
      </w:pPr>
      <w:r>
        <w:t>Prihodi poslovanja (6) u 2025. godini ostvareni su u iznosu 72.735.678,32 EUR. U odnosu na ostvarenje prihoda prethodne godine veći su za 13,6%.</w:t>
      </w:r>
    </w:p>
    <w:p w14:paraId="153D276A" w14:textId="77777777" w:rsidR="00AF6B6A" w:rsidRDefault="00AF6B6A"/>
    <w:p w14:paraId="661DCF5E" w14:textId="77777777" w:rsidR="00AF6B6A"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7CF6E1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A93C64"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7E89BE"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770773"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65C748"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9ADC6A"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069E62" w14:textId="77777777" w:rsidR="00AF6B6A" w:rsidRDefault="00000000">
            <w:pPr>
              <w:keepNext/>
              <w:keepLines/>
              <w:spacing w:after="0" w:line="240" w:lineRule="auto"/>
              <w:jc w:val="center"/>
            </w:pPr>
            <w:r>
              <w:rPr>
                <w:b/>
                <w:sz w:val="18"/>
              </w:rPr>
              <w:t>Indeks (%)</w:t>
            </w:r>
          </w:p>
        </w:tc>
      </w:tr>
      <w:tr w:rsidR="00AF6B6A" w14:paraId="69F35949" w14:textId="77777777">
        <w:tblPrEx>
          <w:tblCellMar>
            <w:top w:w="0" w:type="dxa"/>
            <w:bottom w:w="0" w:type="dxa"/>
          </w:tblCellMar>
        </w:tblPrEx>
        <w:trPr>
          <w:cantSplit/>
          <w:trHeight w:val="560"/>
        </w:trPr>
        <w:tc>
          <w:tcPr>
            <w:tcW w:w="700" w:type="dxa"/>
            <w:tcMar>
              <w:top w:w="0" w:type="dxa"/>
              <w:bottom w:w="0" w:type="dxa"/>
            </w:tcMar>
            <w:vAlign w:val="center"/>
          </w:tcPr>
          <w:p w14:paraId="262A6C4C" w14:textId="77777777" w:rsidR="00AF6B6A" w:rsidRDefault="00000000">
            <w:pPr>
              <w:keepNext/>
              <w:keepLines/>
              <w:spacing w:after="0" w:line="240" w:lineRule="auto"/>
            </w:pPr>
            <w:r>
              <w:rPr>
                <w:sz w:val="18"/>
              </w:rPr>
              <w:t>61</w:t>
            </w:r>
          </w:p>
        </w:tc>
        <w:tc>
          <w:tcPr>
            <w:tcW w:w="3180" w:type="dxa"/>
            <w:tcMar>
              <w:top w:w="0" w:type="dxa"/>
              <w:bottom w:w="0" w:type="dxa"/>
            </w:tcMar>
            <w:vAlign w:val="center"/>
          </w:tcPr>
          <w:p w14:paraId="4489625F" w14:textId="77777777" w:rsidR="00AF6B6A"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658FAA48" w14:textId="77777777" w:rsidR="00AF6B6A" w:rsidRDefault="00000000">
            <w:pPr>
              <w:keepNext/>
              <w:keepLines/>
              <w:spacing w:after="0" w:line="240" w:lineRule="auto"/>
            </w:pPr>
            <w:r>
              <w:rPr>
                <w:sz w:val="18"/>
              </w:rPr>
              <w:t>61</w:t>
            </w:r>
          </w:p>
        </w:tc>
        <w:tc>
          <w:tcPr>
            <w:tcW w:w="1860" w:type="dxa"/>
            <w:tcMar>
              <w:top w:w="0" w:type="dxa"/>
              <w:bottom w:w="0" w:type="dxa"/>
            </w:tcMar>
            <w:vAlign w:val="center"/>
          </w:tcPr>
          <w:p w14:paraId="538468D7" w14:textId="77777777" w:rsidR="00AF6B6A" w:rsidRDefault="00000000">
            <w:pPr>
              <w:keepNext/>
              <w:keepLines/>
              <w:spacing w:after="0" w:line="240" w:lineRule="auto"/>
              <w:jc w:val="right"/>
            </w:pPr>
            <w:r>
              <w:rPr>
                <w:sz w:val="18"/>
              </w:rPr>
              <w:t>40.837.802,25</w:t>
            </w:r>
          </w:p>
        </w:tc>
        <w:tc>
          <w:tcPr>
            <w:tcW w:w="1860" w:type="dxa"/>
            <w:tcMar>
              <w:top w:w="0" w:type="dxa"/>
              <w:bottom w:w="0" w:type="dxa"/>
            </w:tcMar>
            <w:vAlign w:val="center"/>
          </w:tcPr>
          <w:p w14:paraId="19B6F466" w14:textId="77777777" w:rsidR="00AF6B6A" w:rsidRDefault="00000000">
            <w:pPr>
              <w:keepNext/>
              <w:keepLines/>
              <w:spacing w:after="0" w:line="240" w:lineRule="auto"/>
              <w:jc w:val="right"/>
            </w:pPr>
            <w:r>
              <w:rPr>
                <w:sz w:val="18"/>
              </w:rPr>
              <w:t>44.192.216,02</w:t>
            </w:r>
          </w:p>
        </w:tc>
        <w:tc>
          <w:tcPr>
            <w:tcW w:w="700" w:type="dxa"/>
            <w:tcMar>
              <w:top w:w="0" w:type="dxa"/>
              <w:bottom w:w="0" w:type="dxa"/>
            </w:tcMar>
            <w:vAlign w:val="center"/>
          </w:tcPr>
          <w:p w14:paraId="1ACA9CF0" w14:textId="77777777" w:rsidR="00AF6B6A" w:rsidRDefault="00000000">
            <w:pPr>
              <w:keepNext/>
              <w:keepLines/>
              <w:spacing w:after="0" w:line="240" w:lineRule="auto"/>
              <w:jc w:val="right"/>
            </w:pPr>
            <w:r>
              <w:rPr>
                <w:sz w:val="18"/>
              </w:rPr>
              <w:t>108,2</w:t>
            </w:r>
          </w:p>
        </w:tc>
      </w:tr>
    </w:tbl>
    <w:p w14:paraId="37B524E7" w14:textId="77777777" w:rsidR="00AF6B6A" w:rsidRDefault="00AF6B6A">
      <w:pPr>
        <w:spacing w:after="0"/>
      </w:pPr>
    </w:p>
    <w:p w14:paraId="3B559486" w14:textId="77777777" w:rsidR="00AF6B6A" w:rsidRDefault="00000000">
      <w:pPr>
        <w:jc w:val="both"/>
      </w:pPr>
      <w:r>
        <w:t>Prihodi od poreza (61) iznose 44.192.216,02 EUR. Veći su od prihoda ostvarenih u istom razdoblju prošle godine za 8,2%.</w:t>
      </w:r>
    </w:p>
    <w:p w14:paraId="5D2FB404" w14:textId="77777777" w:rsidR="00AF6B6A" w:rsidRDefault="00AF6B6A"/>
    <w:p w14:paraId="0A19E768" w14:textId="77777777" w:rsidR="00AF6B6A"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36B8E9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CF2E1D"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28E442"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C963A8"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012043"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3F8A79"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B01F99" w14:textId="77777777" w:rsidR="00AF6B6A" w:rsidRDefault="00000000">
            <w:pPr>
              <w:keepNext/>
              <w:keepLines/>
              <w:spacing w:after="0" w:line="240" w:lineRule="auto"/>
              <w:jc w:val="center"/>
            </w:pPr>
            <w:r>
              <w:rPr>
                <w:b/>
                <w:sz w:val="18"/>
              </w:rPr>
              <w:t>Indeks (%)</w:t>
            </w:r>
          </w:p>
        </w:tc>
      </w:tr>
      <w:tr w:rsidR="00AF6B6A" w14:paraId="2E2000A7" w14:textId="77777777">
        <w:tblPrEx>
          <w:tblCellMar>
            <w:top w:w="0" w:type="dxa"/>
            <w:bottom w:w="0" w:type="dxa"/>
          </w:tblCellMar>
        </w:tblPrEx>
        <w:trPr>
          <w:cantSplit/>
          <w:trHeight w:val="560"/>
        </w:trPr>
        <w:tc>
          <w:tcPr>
            <w:tcW w:w="700" w:type="dxa"/>
            <w:tcMar>
              <w:top w:w="0" w:type="dxa"/>
              <w:bottom w:w="0" w:type="dxa"/>
            </w:tcMar>
            <w:vAlign w:val="center"/>
          </w:tcPr>
          <w:p w14:paraId="6EE97B6B" w14:textId="77777777" w:rsidR="00AF6B6A" w:rsidRDefault="00000000">
            <w:pPr>
              <w:keepNext/>
              <w:keepLines/>
              <w:spacing w:after="0" w:line="240" w:lineRule="auto"/>
            </w:pPr>
            <w:r>
              <w:rPr>
                <w:sz w:val="18"/>
              </w:rPr>
              <w:t>611</w:t>
            </w:r>
          </w:p>
        </w:tc>
        <w:tc>
          <w:tcPr>
            <w:tcW w:w="3180" w:type="dxa"/>
            <w:tcMar>
              <w:top w:w="0" w:type="dxa"/>
              <w:bottom w:w="0" w:type="dxa"/>
            </w:tcMar>
            <w:vAlign w:val="center"/>
          </w:tcPr>
          <w:p w14:paraId="0E30B574" w14:textId="77777777" w:rsidR="00AF6B6A"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7DADE719" w14:textId="77777777" w:rsidR="00AF6B6A" w:rsidRDefault="00000000">
            <w:pPr>
              <w:keepNext/>
              <w:keepLines/>
              <w:spacing w:after="0" w:line="240" w:lineRule="auto"/>
            </w:pPr>
            <w:r>
              <w:rPr>
                <w:sz w:val="18"/>
              </w:rPr>
              <w:t>611</w:t>
            </w:r>
          </w:p>
        </w:tc>
        <w:tc>
          <w:tcPr>
            <w:tcW w:w="1860" w:type="dxa"/>
            <w:tcMar>
              <w:top w:w="0" w:type="dxa"/>
              <w:bottom w:w="0" w:type="dxa"/>
            </w:tcMar>
            <w:vAlign w:val="center"/>
          </w:tcPr>
          <w:p w14:paraId="1387A09F" w14:textId="77777777" w:rsidR="00AF6B6A" w:rsidRDefault="00000000">
            <w:pPr>
              <w:keepNext/>
              <w:keepLines/>
              <w:spacing w:after="0" w:line="240" w:lineRule="auto"/>
              <w:jc w:val="right"/>
            </w:pPr>
            <w:r>
              <w:rPr>
                <w:sz w:val="18"/>
              </w:rPr>
              <w:t>38.434.999,32</w:t>
            </w:r>
          </w:p>
        </w:tc>
        <w:tc>
          <w:tcPr>
            <w:tcW w:w="1860" w:type="dxa"/>
            <w:tcMar>
              <w:top w:w="0" w:type="dxa"/>
              <w:bottom w:w="0" w:type="dxa"/>
            </w:tcMar>
            <w:vAlign w:val="center"/>
          </w:tcPr>
          <w:p w14:paraId="5529B506" w14:textId="77777777" w:rsidR="00AF6B6A" w:rsidRDefault="00000000">
            <w:pPr>
              <w:keepNext/>
              <w:keepLines/>
              <w:spacing w:after="0" w:line="240" w:lineRule="auto"/>
              <w:jc w:val="right"/>
            </w:pPr>
            <w:r>
              <w:rPr>
                <w:sz w:val="18"/>
              </w:rPr>
              <w:t>40.965.367,38</w:t>
            </w:r>
          </w:p>
        </w:tc>
        <w:tc>
          <w:tcPr>
            <w:tcW w:w="700" w:type="dxa"/>
            <w:tcMar>
              <w:top w:w="0" w:type="dxa"/>
              <w:bottom w:w="0" w:type="dxa"/>
            </w:tcMar>
            <w:vAlign w:val="center"/>
          </w:tcPr>
          <w:p w14:paraId="3C128909" w14:textId="77777777" w:rsidR="00AF6B6A" w:rsidRDefault="00000000">
            <w:pPr>
              <w:keepNext/>
              <w:keepLines/>
              <w:spacing w:after="0" w:line="240" w:lineRule="auto"/>
              <w:jc w:val="right"/>
            </w:pPr>
            <w:r>
              <w:rPr>
                <w:sz w:val="18"/>
              </w:rPr>
              <w:t>106,6</w:t>
            </w:r>
          </w:p>
        </w:tc>
      </w:tr>
    </w:tbl>
    <w:p w14:paraId="1CC5CD1A" w14:textId="77777777" w:rsidR="00AF6B6A" w:rsidRDefault="00AF6B6A">
      <w:pPr>
        <w:spacing w:after="0"/>
      </w:pPr>
    </w:p>
    <w:p w14:paraId="6B5A2E64" w14:textId="77777777" w:rsidR="00AF6B6A" w:rsidRDefault="00000000">
      <w:pPr>
        <w:jc w:val="both"/>
      </w:pPr>
      <w:r>
        <w:t>Ukupno ostvareni prihodi od poreza na dohodak  (611) ostvareni su u iznosu  40.965.367,38  EUR što je za 6,6 % više u odnosu na 2024. godinu. U ovim prihodima porez na dohodak od nesamostalnog rada bilježi najveći nominalni rast i za 11,0% su viši nego lani.</w:t>
      </w:r>
    </w:p>
    <w:p w14:paraId="7DB2AB42" w14:textId="77777777" w:rsidR="00AF6B6A" w:rsidRDefault="00AF6B6A"/>
    <w:p w14:paraId="4A6109C6" w14:textId="77777777" w:rsidR="00AF6B6A"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215BB3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C0C215"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E2483E"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FA373B"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25C1EC"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8D85BA"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500850" w14:textId="77777777" w:rsidR="00AF6B6A" w:rsidRDefault="00000000">
            <w:pPr>
              <w:keepNext/>
              <w:keepLines/>
              <w:spacing w:after="0" w:line="240" w:lineRule="auto"/>
              <w:jc w:val="center"/>
            </w:pPr>
            <w:r>
              <w:rPr>
                <w:b/>
                <w:sz w:val="18"/>
              </w:rPr>
              <w:t>Indeks (%)</w:t>
            </w:r>
          </w:p>
        </w:tc>
      </w:tr>
      <w:tr w:rsidR="00AF6B6A" w14:paraId="7C81C61E" w14:textId="77777777">
        <w:tblPrEx>
          <w:tblCellMar>
            <w:top w:w="0" w:type="dxa"/>
            <w:bottom w:w="0" w:type="dxa"/>
          </w:tblCellMar>
        </w:tblPrEx>
        <w:trPr>
          <w:cantSplit/>
          <w:trHeight w:val="560"/>
        </w:trPr>
        <w:tc>
          <w:tcPr>
            <w:tcW w:w="700" w:type="dxa"/>
            <w:tcMar>
              <w:top w:w="0" w:type="dxa"/>
              <w:bottom w:w="0" w:type="dxa"/>
            </w:tcMar>
            <w:vAlign w:val="center"/>
          </w:tcPr>
          <w:p w14:paraId="55FFA960" w14:textId="77777777" w:rsidR="00AF6B6A" w:rsidRDefault="00000000">
            <w:pPr>
              <w:keepNext/>
              <w:keepLines/>
              <w:spacing w:after="0" w:line="240" w:lineRule="auto"/>
            </w:pPr>
            <w:r>
              <w:rPr>
                <w:sz w:val="18"/>
              </w:rPr>
              <w:t>613</w:t>
            </w:r>
          </w:p>
        </w:tc>
        <w:tc>
          <w:tcPr>
            <w:tcW w:w="3180" w:type="dxa"/>
            <w:tcMar>
              <w:top w:w="0" w:type="dxa"/>
              <w:bottom w:w="0" w:type="dxa"/>
            </w:tcMar>
            <w:vAlign w:val="center"/>
          </w:tcPr>
          <w:p w14:paraId="4C11B1F9" w14:textId="77777777" w:rsidR="00AF6B6A"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5DE57F16" w14:textId="77777777" w:rsidR="00AF6B6A" w:rsidRDefault="00000000">
            <w:pPr>
              <w:keepNext/>
              <w:keepLines/>
              <w:spacing w:after="0" w:line="240" w:lineRule="auto"/>
            </w:pPr>
            <w:r>
              <w:rPr>
                <w:sz w:val="18"/>
              </w:rPr>
              <w:t>613</w:t>
            </w:r>
          </w:p>
        </w:tc>
        <w:tc>
          <w:tcPr>
            <w:tcW w:w="1860" w:type="dxa"/>
            <w:tcMar>
              <w:top w:w="0" w:type="dxa"/>
              <w:bottom w:w="0" w:type="dxa"/>
            </w:tcMar>
            <w:vAlign w:val="center"/>
          </w:tcPr>
          <w:p w14:paraId="484962D5" w14:textId="77777777" w:rsidR="00AF6B6A" w:rsidRDefault="00000000">
            <w:pPr>
              <w:keepNext/>
              <w:keepLines/>
              <w:spacing w:after="0" w:line="240" w:lineRule="auto"/>
              <w:jc w:val="right"/>
            </w:pPr>
            <w:r>
              <w:rPr>
                <w:sz w:val="18"/>
              </w:rPr>
              <w:t>2.137.707,53</w:t>
            </w:r>
          </w:p>
        </w:tc>
        <w:tc>
          <w:tcPr>
            <w:tcW w:w="1860" w:type="dxa"/>
            <w:tcMar>
              <w:top w:w="0" w:type="dxa"/>
              <w:bottom w:w="0" w:type="dxa"/>
            </w:tcMar>
            <w:vAlign w:val="center"/>
          </w:tcPr>
          <w:p w14:paraId="4261582D" w14:textId="77777777" w:rsidR="00AF6B6A" w:rsidRDefault="00000000">
            <w:pPr>
              <w:keepNext/>
              <w:keepLines/>
              <w:spacing w:after="0" w:line="240" w:lineRule="auto"/>
              <w:jc w:val="right"/>
            </w:pPr>
            <w:r>
              <w:rPr>
                <w:sz w:val="18"/>
              </w:rPr>
              <w:t>2.940.542,94</w:t>
            </w:r>
          </w:p>
        </w:tc>
        <w:tc>
          <w:tcPr>
            <w:tcW w:w="700" w:type="dxa"/>
            <w:tcMar>
              <w:top w:w="0" w:type="dxa"/>
              <w:bottom w:w="0" w:type="dxa"/>
            </w:tcMar>
            <w:vAlign w:val="center"/>
          </w:tcPr>
          <w:p w14:paraId="2B80852C" w14:textId="77777777" w:rsidR="00AF6B6A" w:rsidRDefault="00000000">
            <w:pPr>
              <w:keepNext/>
              <w:keepLines/>
              <w:spacing w:after="0" w:line="240" w:lineRule="auto"/>
              <w:jc w:val="right"/>
            </w:pPr>
            <w:r>
              <w:rPr>
                <w:sz w:val="18"/>
              </w:rPr>
              <w:t>137,6</w:t>
            </w:r>
          </w:p>
        </w:tc>
      </w:tr>
    </w:tbl>
    <w:p w14:paraId="199A64A3" w14:textId="77777777" w:rsidR="00AF6B6A" w:rsidRDefault="00AF6B6A">
      <w:pPr>
        <w:spacing w:after="0"/>
      </w:pPr>
    </w:p>
    <w:p w14:paraId="53137EE1" w14:textId="77777777" w:rsidR="00AF6B6A" w:rsidRDefault="00000000">
      <w:pPr>
        <w:jc w:val="both"/>
      </w:pPr>
      <w:r>
        <w:t>Porezi na imovinu (613)  u 2025. godini ostvareni su u iznosu 2.940.542,94 EUR što je za  37,6 % više nego u istom razdoblju prethodne godine. Povremeni porez na imovinu (porez na promet nekretnina) ostvaren je u iznosu 2.754.662,45 EUR i veći je 37,7 % u odnosu na prošlu godinu, a stalni porez na nepokretnu imovinu (porez na korištenje javnih površina - terasa) ostvaren je u iznosu 185.880,49 EUR.  </w:t>
      </w:r>
    </w:p>
    <w:p w14:paraId="2DF76A63" w14:textId="77777777" w:rsidR="00AF6B6A" w:rsidRDefault="00AF6B6A"/>
    <w:p w14:paraId="07B919FB" w14:textId="77777777" w:rsidR="00AF6B6A"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4A0707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2666A2"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3C3462"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B28425"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84528A"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5F3C78"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9F9440" w14:textId="77777777" w:rsidR="00AF6B6A" w:rsidRDefault="00000000">
            <w:pPr>
              <w:keepNext/>
              <w:keepLines/>
              <w:spacing w:after="0" w:line="240" w:lineRule="auto"/>
              <w:jc w:val="center"/>
            </w:pPr>
            <w:r>
              <w:rPr>
                <w:b/>
                <w:sz w:val="18"/>
              </w:rPr>
              <w:t>Indeks (%)</w:t>
            </w:r>
          </w:p>
        </w:tc>
      </w:tr>
      <w:tr w:rsidR="00AF6B6A" w14:paraId="58EACA98" w14:textId="77777777">
        <w:tblPrEx>
          <w:tblCellMar>
            <w:top w:w="0" w:type="dxa"/>
            <w:bottom w:w="0" w:type="dxa"/>
          </w:tblCellMar>
        </w:tblPrEx>
        <w:trPr>
          <w:cantSplit/>
          <w:trHeight w:val="560"/>
        </w:trPr>
        <w:tc>
          <w:tcPr>
            <w:tcW w:w="700" w:type="dxa"/>
            <w:tcMar>
              <w:top w:w="0" w:type="dxa"/>
              <w:bottom w:w="0" w:type="dxa"/>
            </w:tcMar>
            <w:vAlign w:val="center"/>
          </w:tcPr>
          <w:p w14:paraId="0AC17346" w14:textId="77777777" w:rsidR="00AF6B6A" w:rsidRDefault="00000000">
            <w:pPr>
              <w:keepNext/>
              <w:keepLines/>
              <w:spacing w:after="0" w:line="240" w:lineRule="auto"/>
            </w:pPr>
            <w:r>
              <w:rPr>
                <w:sz w:val="18"/>
              </w:rPr>
              <w:t>6131</w:t>
            </w:r>
          </w:p>
        </w:tc>
        <w:tc>
          <w:tcPr>
            <w:tcW w:w="3180" w:type="dxa"/>
            <w:tcMar>
              <w:top w:w="0" w:type="dxa"/>
              <w:bottom w:w="0" w:type="dxa"/>
            </w:tcMar>
            <w:vAlign w:val="center"/>
          </w:tcPr>
          <w:p w14:paraId="3A6FF715" w14:textId="77777777" w:rsidR="00AF6B6A" w:rsidRDefault="00000000">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7466B25F" w14:textId="77777777" w:rsidR="00AF6B6A" w:rsidRDefault="00000000">
            <w:pPr>
              <w:keepNext/>
              <w:keepLines/>
              <w:spacing w:after="0" w:line="240" w:lineRule="auto"/>
            </w:pPr>
            <w:r>
              <w:rPr>
                <w:sz w:val="18"/>
              </w:rPr>
              <w:t>6131</w:t>
            </w:r>
          </w:p>
        </w:tc>
        <w:tc>
          <w:tcPr>
            <w:tcW w:w="1860" w:type="dxa"/>
            <w:tcMar>
              <w:top w:w="0" w:type="dxa"/>
              <w:bottom w:w="0" w:type="dxa"/>
            </w:tcMar>
            <w:vAlign w:val="center"/>
          </w:tcPr>
          <w:p w14:paraId="22D5ED3C" w14:textId="77777777" w:rsidR="00AF6B6A" w:rsidRDefault="00000000">
            <w:pPr>
              <w:keepNext/>
              <w:keepLines/>
              <w:spacing w:after="0" w:line="240" w:lineRule="auto"/>
              <w:jc w:val="right"/>
            </w:pPr>
            <w:r>
              <w:rPr>
                <w:sz w:val="18"/>
              </w:rPr>
              <w:t>136.688,19</w:t>
            </w:r>
          </w:p>
        </w:tc>
        <w:tc>
          <w:tcPr>
            <w:tcW w:w="1860" w:type="dxa"/>
            <w:tcMar>
              <w:top w:w="0" w:type="dxa"/>
              <w:bottom w:w="0" w:type="dxa"/>
            </w:tcMar>
            <w:vAlign w:val="center"/>
          </w:tcPr>
          <w:p w14:paraId="03FAE10E" w14:textId="77777777" w:rsidR="00AF6B6A" w:rsidRDefault="00000000">
            <w:pPr>
              <w:keepNext/>
              <w:keepLines/>
              <w:spacing w:after="0" w:line="240" w:lineRule="auto"/>
              <w:jc w:val="right"/>
            </w:pPr>
            <w:r>
              <w:rPr>
                <w:sz w:val="18"/>
              </w:rPr>
              <w:t>185.880,49</w:t>
            </w:r>
          </w:p>
        </w:tc>
        <w:tc>
          <w:tcPr>
            <w:tcW w:w="700" w:type="dxa"/>
            <w:tcMar>
              <w:top w:w="0" w:type="dxa"/>
              <w:bottom w:w="0" w:type="dxa"/>
            </w:tcMar>
            <w:vAlign w:val="center"/>
          </w:tcPr>
          <w:p w14:paraId="4A9889C9" w14:textId="77777777" w:rsidR="00AF6B6A" w:rsidRDefault="00000000">
            <w:pPr>
              <w:keepNext/>
              <w:keepLines/>
              <w:spacing w:after="0" w:line="240" w:lineRule="auto"/>
              <w:jc w:val="right"/>
            </w:pPr>
            <w:r>
              <w:rPr>
                <w:sz w:val="18"/>
              </w:rPr>
              <w:t>136,0</w:t>
            </w:r>
          </w:p>
        </w:tc>
      </w:tr>
    </w:tbl>
    <w:p w14:paraId="426B1C9C" w14:textId="77777777" w:rsidR="00AF6B6A" w:rsidRDefault="00AF6B6A">
      <w:pPr>
        <w:spacing w:after="0"/>
      </w:pPr>
    </w:p>
    <w:p w14:paraId="22355C06" w14:textId="77777777" w:rsidR="00AF6B6A" w:rsidRDefault="00000000">
      <w:pPr>
        <w:jc w:val="both"/>
      </w:pPr>
      <w:r>
        <w:t>Stalni porez na nepokretnu imovinu (porez na korištenje javnih površina) ostvaren je u iznosu 185.880,49 EUR ,  za 36% više nego u istom izvještajnom razdoblju prethodne godine. Ovo povećanje najvećim dijelom odnosi se na naplatu jednog rješenja u značajno većem iznosu (20.984,80 EUR) jednom poduzeću za njihove potrebe korištenja javne površine. Osim toga, izdano je nekoliko rješenja u većim iznosima, koji su i naplaćeni pa je i to dovelo do povećanja na ovom kontu.</w:t>
      </w:r>
    </w:p>
    <w:p w14:paraId="7418135D" w14:textId="77777777" w:rsidR="00AF6B6A" w:rsidRDefault="00AF6B6A"/>
    <w:p w14:paraId="5AABD809" w14:textId="77777777" w:rsidR="00AF6B6A"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6AD118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8BB7DA"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18CCDC"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77E346"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56B59E"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824949"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425C05" w14:textId="77777777" w:rsidR="00AF6B6A" w:rsidRDefault="00000000">
            <w:pPr>
              <w:keepNext/>
              <w:keepLines/>
              <w:spacing w:after="0" w:line="240" w:lineRule="auto"/>
              <w:jc w:val="center"/>
            </w:pPr>
            <w:r>
              <w:rPr>
                <w:b/>
                <w:sz w:val="18"/>
              </w:rPr>
              <w:t>Indeks (%)</w:t>
            </w:r>
          </w:p>
        </w:tc>
      </w:tr>
      <w:tr w:rsidR="00AF6B6A" w14:paraId="5B1FDB8C" w14:textId="77777777">
        <w:tblPrEx>
          <w:tblCellMar>
            <w:top w:w="0" w:type="dxa"/>
            <w:bottom w:w="0" w:type="dxa"/>
          </w:tblCellMar>
        </w:tblPrEx>
        <w:trPr>
          <w:cantSplit/>
          <w:trHeight w:val="560"/>
        </w:trPr>
        <w:tc>
          <w:tcPr>
            <w:tcW w:w="700" w:type="dxa"/>
            <w:tcMar>
              <w:top w:w="0" w:type="dxa"/>
              <w:bottom w:w="0" w:type="dxa"/>
            </w:tcMar>
            <w:vAlign w:val="center"/>
          </w:tcPr>
          <w:p w14:paraId="729BAFB4" w14:textId="77777777" w:rsidR="00AF6B6A" w:rsidRDefault="00000000">
            <w:pPr>
              <w:keepNext/>
              <w:keepLines/>
              <w:spacing w:after="0" w:line="240" w:lineRule="auto"/>
            </w:pPr>
            <w:r>
              <w:rPr>
                <w:sz w:val="18"/>
              </w:rPr>
              <w:t>6134</w:t>
            </w:r>
          </w:p>
        </w:tc>
        <w:tc>
          <w:tcPr>
            <w:tcW w:w="3180" w:type="dxa"/>
            <w:tcMar>
              <w:top w:w="0" w:type="dxa"/>
              <w:bottom w:w="0" w:type="dxa"/>
            </w:tcMar>
            <w:vAlign w:val="center"/>
          </w:tcPr>
          <w:p w14:paraId="59B07A9C" w14:textId="77777777" w:rsidR="00AF6B6A" w:rsidRDefault="00000000">
            <w:pPr>
              <w:keepNext/>
              <w:keepLines/>
              <w:spacing w:after="0" w:line="240" w:lineRule="auto"/>
            </w:pPr>
            <w:r>
              <w:rPr>
                <w:sz w:val="18"/>
              </w:rPr>
              <w:t>Povremeni porezi na imovinu</w:t>
            </w:r>
          </w:p>
        </w:tc>
        <w:tc>
          <w:tcPr>
            <w:tcW w:w="700" w:type="dxa"/>
            <w:tcMar>
              <w:top w:w="0" w:type="dxa"/>
              <w:bottom w:w="0" w:type="dxa"/>
            </w:tcMar>
            <w:vAlign w:val="center"/>
          </w:tcPr>
          <w:p w14:paraId="625C9401" w14:textId="77777777" w:rsidR="00AF6B6A" w:rsidRDefault="00000000">
            <w:pPr>
              <w:keepNext/>
              <w:keepLines/>
              <w:spacing w:after="0" w:line="240" w:lineRule="auto"/>
            </w:pPr>
            <w:r>
              <w:rPr>
                <w:sz w:val="18"/>
              </w:rPr>
              <w:t>6134</w:t>
            </w:r>
          </w:p>
        </w:tc>
        <w:tc>
          <w:tcPr>
            <w:tcW w:w="1860" w:type="dxa"/>
            <w:tcMar>
              <w:top w:w="0" w:type="dxa"/>
              <w:bottom w:w="0" w:type="dxa"/>
            </w:tcMar>
            <w:vAlign w:val="center"/>
          </w:tcPr>
          <w:p w14:paraId="14A6C255" w14:textId="77777777" w:rsidR="00AF6B6A" w:rsidRDefault="00000000">
            <w:pPr>
              <w:keepNext/>
              <w:keepLines/>
              <w:spacing w:after="0" w:line="240" w:lineRule="auto"/>
              <w:jc w:val="right"/>
            </w:pPr>
            <w:r>
              <w:rPr>
                <w:sz w:val="18"/>
              </w:rPr>
              <w:t>2.001.019,34</w:t>
            </w:r>
          </w:p>
        </w:tc>
        <w:tc>
          <w:tcPr>
            <w:tcW w:w="1860" w:type="dxa"/>
            <w:tcMar>
              <w:top w:w="0" w:type="dxa"/>
              <w:bottom w:w="0" w:type="dxa"/>
            </w:tcMar>
            <w:vAlign w:val="center"/>
          </w:tcPr>
          <w:p w14:paraId="5C79F3CB" w14:textId="77777777" w:rsidR="00AF6B6A" w:rsidRDefault="00000000">
            <w:pPr>
              <w:keepNext/>
              <w:keepLines/>
              <w:spacing w:after="0" w:line="240" w:lineRule="auto"/>
              <w:jc w:val="right"/>
            </w:pPr>
            <w:r>
              <w:rPr>
                <w:sz w:val="18"/>
              </w:rPr>
              <w:t>2.754.662,45</w:t>
            </w:r>
          </w:p>
        </w:tc>
        <w:tc>
          <w:tcPr>
            <w:tcW w:w="700" w:type="dxa"/>
            <w:tcMar>
              <w:top w:w="0" w:type="dxa"/>
              <w:bottom w:w="0" w:type="dxa"/>
            </w:tcMar>
            <w:vAlign w:val="center"/>
          </w:tcPr>
          <w:p w14:paraId="4D8AA66F" w14:textId="77777777" w:rsidR="00AF6B6A" w:rsidRDefault="00000000">
            <w:pPr>
              <w:keepNext/>
              <w:keepLines/>
              <w:spacing w:after="0" w:line="240" w:lineRule="auto"/>
              <w:jc w:val="right"/>
            </w:pPr>
            <w:r>
              <w:rPr>
                <w:sz w:val="18"/>
              </w:rPr>
              <w:t>137,7</w:t>
            </w:r>
          </w:p>
        </w:tc>
      </w:tr>
    </w:tbl>
    <w:p w14:paraId="703660EC" w14:textId="77777777" w:rsidR="00AF6B6A" w:rsidRDefault="00AF6B6A">
      <w:pPr>
        <w:spacing w:after="0"/>
      </w:pPr>
    </w:p>
    <w:p w14:paraId="7131407B" w14:textId="77777777" w:rsidR="00AF6B6A" w:rsidRDefault="00000000">
      <w:pPr>
        <w:jc w:val="both"/>
      </w:pPr>
      <w:r>
        <w:t>Povremeni porez na imovinu (porez na promet nekretnina) ostvaren je u iznosu 2.754.662,45 EUR i veći je 37,7% u odnosu na prošlu godinu, zbog većeg broja naplaćenih rješenja poreza na promet nekretnina.</w:t>
      </w:r>
    </w:p>
    <w:p w14:paraId="0983AD8A" w14:textId="77777777" w:rsidR="00AF6B6A" w:rsidRDefault="00AF6B6A"/>
    <w:p w14:paraId="1BA54E8B" w14:textId="77777777" w:rsidR="00AF6B6A"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675046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C2E1F2"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62C446"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109696"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6DB436"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A74C8A"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304192" w14:textId="77777777" w:rsidR="00AF6B6A" w:rsidRDefault="00000000">
            <w:pPr>
              <w:keepNext/>
              <w:keepLines/>
              <w:spacing w:after="0" w:line="240" w:lineRule="auto"/>
              <w:jc w:val="center"/>
            </w:pPr>
            <w:r>
              <w:rPr>
                <w:b/>
                <w:sz w:val="18"/>
              </w:rPr>
              <w:t>Indeks (%)</w:t>
            </w:r>
          </w:p>
        </w:tc>
      </w:tr>
      <w:tr w:rsidR="00AF6B6A" w14:paraId="65B26802" w14:textId="77777777">
        <w:tblPrEx>
          <w:tblCellMar>
            <w:top w:w="0" w:type="dxa"/>
            <w:bottom w:w="0" w:type="dxa"/>
          </w:tblCellMar>
        </w:tblPrEx>
        <w:trPr>
          <w:cantSplit/>
          <w:trHeight w:val="560"/>
        </w:trPr>
        <w:tc>
          <w:tcPr>
            <w:tcW w:w="700" w:type="dxa"/>
            <w:tcMar>
              <w:top w:w="0" w:type="dxa"/>
              <w:bottom w:w="0" w:type="dxa"/>
            </w:tcMar>
            <w:vAlign w:val="center"/>
          </w:tcPr>
          <w:p w14:paraId="0DA1C2EF" w14:textId="77777777" w:rsidR="00AF6B6A" w:rsidRDefault="00000000">
            <w:pPr>
              <w:keepNext/>
              <w:keepLines/>
              <w:spacing w:after="0" w:line="240" w:lineRule="auto"/>
            </w:pPr>
            <w:r>
              <w:rPr>
                <w:sz w:val="18"/>
              </w:rPr>
              <w:t>614</w:t>
            </w:r>
          </w:p>
        </w:tc>
        <w:tc>
          <w:tcPr>
            <w:tcW w:w="3180" w:type="dxa"/>
            <w:tcMar>
              <w:top w:w="0" w:type="dxa"/>
              <w:bottom w:w="0" w:type="dxa"/>
            </w:tcMar>
            <w:vAlign w:val="center"/>
          </w:tcPr>
          <w:p w14:paraId="11C00B57" w14:textId="77777777" w:rsidR="00AF6B6A" w:rsidRDefault="00000000">
            <w:pPr>
              <w:keepNext/>
              <w:keepLines/>
              <w:spacing w:after="0" w:line="240" w:lineRule="auto"/>
            </w:pPr>
            <w:r>
              <w:rPr>
                <w:sz w:val="18"/>
              </w:rPr>
              <w:t>Porezi na robu i usluge (šifre 6141 do 61476148)</w:t>
            </w:r>
          </w:p>
        </w:tc>
        <w:tc>
          <w:tcPr>
            <w:tcW w:w="700" w:type="dxa"/>
            <w:tcMar>
              <w:top w:w="0" w:type="dxa"/>
              <w:bottom w:w="0" w:type="dxa"/>
            </w:tcMar>
            <w:vAlign w:val="center"/>
          </w:tcPr>
          <w:p w14:paraId="0F7FCB25" w14:textId="77777777" w:rsidR="00AF6B6A" w:rsidRDefault="00000000">
            <w:pPr>
              <w:keepNext/>
              <w:keepLines/>
              <w:spacing w:after="0" w:line="240" w:lineRule="auto"/>
            </w:pPr>
            <w:r>
              <w:rPr>
                <w:sz w:val="18"/>
              </w:rPr>
              <w:t>614</w:t>
            </w:r>
          </w:p>
        </w:tc>
        <w:tc>
          <w:tcPr>
            <w:tcW w:w="1860" w:type="dxa"/>
            <w:tcMar>
              <w:top w:w="0" w:type="dxa"/>
              <w:bottom w:w="0" w:type="dxa"/>
            </w:tcMar>
            <w:vAlign w:val="center"/>
          </w:tcPr>
          <w:p w14:paraId="34A1094F" w14:textId="77777777" w:rsidR="00AF6B6A" w:rsidRDefault="00000000">
            <w:pPr>
              <w:keepNext/>
              <w:keepLines/>
              <w:spacing w:after="0" w:line="240" w:lineRule="auto"/>
              <w:jc w:val="right"/>
            </w:pPr>
            <w:r>
              <w:rPr>
                <w:sz w:val="18"/>
              </w:rPr>
              <w:t>265.095,40</w:t>
            </w:r>
          </w:p>
        </w:tc>
        <w:tc>
          <w:tcPr>
            <w:tcW w:w="1860" w:type="dxa"/>
            <w:tcMar>
              <w:top w:w="0" w:type="dxa"/>
              <w:bottom w:w="0" w:type="dxa"/>
            </w:tcMar>
            <w:vAlign w:val="center"/>
          </w:tcPr>
          <w:p w14:paraId="20EEDE63" w14:textId="77777777" w:rsidR="00AF6B6A" w:rsidRDefault="00000000">
            <w:pPr>
              <w:keepNext/>
              <w:keepLines/>
              <w:spacing w:after="0" w:line="240" w:lineRule="auto"/>
              <w:jc w:val="right"/>
            </w:pPr>
            <w:r>
              <w:rPr>
                <w:sz w:val="18"/>
              </w:rPr>
              <w:t>286.305,70</w:t>
            </w:r>
          </w:p>
        </w:tc>
        <w:tc>
          <w:tcPr>
            <w:tcW w:w="700" w:type="dxa"/>
            <w:tcMar>
              <w:top w:w="0" w:type="dxa"/>
              <w:bottom w:w="0" w:type="dxa"/>
            </w:tcMar>
            <w:vAlign w:val="center"/>
          </w:tcPr>
          <w:p w14:paraId="06D648C5" w14:textId="77777777" w:rsidR="00AF6B6A" w:rsidRDefault="00000000">
            <w:pPr>
              <w:keepNext/>
              <w:keepLines/>
              <w:spacing w:after="0" w:line="240" w:lineRule="auto"/>
              <w:jc w:val="right"/>
            </w:pPr>
            <w:r>
              <w:rPr>
                <w:sz w:val="18"/>
              </w:rPr>
              <w:t>108,0</w:t>
            </w:r>
          </w:p>
        </w:tc>
      </w:tr>
    </w:tbl>
    <w:p w14:paraId="084D08A5" w14:textId="77777777" w:rsidR="00AF6B6A" w:rsidRDefault="00AF6B6A">
      <w:pPr>
        <w:spacing w:after="0"/>
      </w:pPr>
    </w:p>
    <w:p w14:paraId="0E515558" w14:textId="77777777" w:rsidR="00AF6B6A" w:rsidRDefault="00000000">
      <w:pPr>
        <w:jc w:val="both"/>
      </w:pPr>
      <w:r>
        <w:t>Porezi na robu i usluge (614) kojeg čine porez na potrošnju alkoholnih i bezalkoholnih pića te porez na tvrtku odnosno naziv, ostvareni su u iznosu 286.305,70 EUR. Porez na potrošnju alkoholnih i bezalkoholnih pića ostvaren je u iznosu 282.436,81 EUR što je za 6,9 % više u odnosu na prethodnu godinu. Porez na tvrtku ostvaren je u iznosu od 3.868,89 EUR.</w:t>
      </w:r>
    </w:p>
    <w:p w14:paraId="6143DBAC" w14:textId="77777777" w:rsidR="00AF6B6A" w:rsidRDefault="00000000">
      <w:pPr>
        <w:jc w:val="both"/>
      </w:pPr>
      <w:r>
        <w:t> </w:t>
      </w:r>
    </w:p>
    <w:p w14:paraId="034F3300" w14:textId="77777777" w:rsidR="00AF6B6A" w:rsidRDefault="00AF6B6A"/>
    <w:p w14:paraId="10642E7E" w14:textId="77777777" w:rsidR="00AF6B6A"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00DA7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5840AF"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B67129"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2007D6"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D983B1"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9E0D2C"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6C0BCD" w14:textId="77777777" w:rsidR="00AF6B6A" w:rsidRDefault="00000000">
            <w:pPr>
              <w:keepNext/>
              <w:keepLines/>
              <w:spacing w:after="0" w:line="240" w:lineRule="auto"/>
              <w:jc w:val="center"/>
            </w:pPr>
            <w:r>
              <w:rPr>
                <w:b/>
                <w:sz w:val="18"/>
              </w:rPr>
              <w:t>Indeks (%)</w:t>
            </w:r>
          </w:p>
        </w:tc>
      </w:tr>
      <w:tr w:rsidR="00AF6B6A" w14:paraId="54531AD2" w14:textId="77777777">
        <w:tblPrEx>
          <w:tblCellMar>
            <w:top w:w="0" w:type="dxa"/>
            <w:bottom w:w="0" w:type="dxa"/>
          </w:tblCellMar>
        </w:tblPrEx>
        <w:trPr>
          <w:cantSplit/>
          <w:trHeight w:val="560"/>
        </w:trPr>
        <w:tc>
          <w:tcPr>
            <w:tcW w:w="700" w:type="dxa"/>
            <w:tcMar>
              <w:top w:w="0" w:type="dxa"/>
              <w:bottom w:w="0" w:type="dxa"/>
            </w:tcMar>
            <w:vAlign w:val="center"/>
          </w:tcPr>
          <w:p w14:paraId="36EDB4CF" w14:textId="77777777" w:rsidR="00AF6B6A" w:rsidRDefault="00000000">
            <w:pPr>
              <w:keepNext/>
              <w:keepLines/>
              <w:spacing w:after="0" w:line="240" w:lineRule="auto"/>
            </w:pPr>
            <w:r>
              <w:rPr>
                <w:sz w:val="18"/>
              </w:rPr>
              <w:t>63</w:t>
            </w:r>
          </w:p>
        </w:tc>
        <w:tc>
          <w:tcPr>
            <w:tcW w:w="3180" w:type="dxa"/>
            <w:tcMar>
              <w:top w:w="0" w:type="dxa"/>
              <w:bottom w:w="0" w:type="dxa"/>
            </w:tcMar>
            <w:vAlign w:val="center"/>
          </w:tcPr>
          <w:p w14:paraId="583E35C6" w14:textId="77777777" w:rsidR="00AF6B6A"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65A1DF31" w14:textId="77777777" w:rsidR="00AF6B6A" w:rsidRDefault="00000000">
            <w:pPr>
              <w:keepNext/>
              <w:keepLines/>
              <w:spacing w:after="0" w:line="240" w:lineRule="auto"/>
            </w:pPr>
            <w:r>
              <w:rPr>
                <w:sz w:val="18"/>
              </w:rPr>
              <w:t>63</w:t>
            </w:r>
          </w:p>
        </w:tc>
        <w:tc>
          <w:tcPr>
            <w:tcW w:w="1860" w:type="dxa"/>
            <w:tcMar>
              <w:top w:w="0" w:type="dxa"/>
              <w:bottom w:w="0" w:type="dxa"/>
            </w:tcMar>
            <w:vAlign w:val="center"/>
          </w:tcPr>
          <w:p w14:paraId="0DFC5B15" w14:textId="77777777" w:rsidR="00AF6B6A" w:rsidRDefault="00000000">
            <w:pPr>
              <w:keepNext/>
              <w:keepLines/>
              <w:spacing w:after="0" w:line="240" w:lineRule="auto"/>
              <w:jc w:val="right"/>
            </w:pPr>
            <w:r>
              <w:rPr>
                <w:sz w:val="18"/>
              </w:rPr>
              <w:t>10.672.611,47</w:t>
            </w:r>
          </w:p>
        </w:tc>
        <w:tc>
          <w:tcPr>
            <w:tcW w:w="1860" w:type="dxa"/>
            <w:tcMar>
              <w:top w:w="0" w:type="dxa"/>
              <w:bottom w:w="0" w:type="dxa"/>
            </w:tcMar>
            <w:vAlign w:val="center"/>
          </w:tcPr>
          <w:p w14:paraId="253EE6E8" w14:textId="77777777" w:rsidR="00AF6B6A" w:rsidRDefault="00000000">
            <w:pPr>
              <w:keepNext/>
              <w:keepLines/>
              <w:spacing w:after="0" w:line="240" w:lineRule="auto"/>
              <w:jc w:val="right"/>
            </w:pPr>
            <w:r>
              <w:rPr>
                <w:sz w:val="18"/>
              </w:rPr>
              <w:t>15.301.622,55</w:t>
            </w:r>
          </w:p>
        </w:tc>
        <w:tc>
          <w:tcPr>
            <w:tcW w:w="700" w:type="dxa"/>
            <w:tcMar>
              <w:top w:w="0" w:type="dxa"/>
              <w:bottom w:w="0" w:type="dxa"/>
            </w:tcMar>
            <w:vAlign w:val="center"/>
          </w:tcPr>
          <w:p w14:paraId="792D278C" w14:textId="77777777" w:rsidR="00AF6B6A" w:rsidRDefault="00000000">
            <w:pPr>
              <w:keepNext/>
              <w:keepLines/>
              <w:spacing w:after="0" w:line="240" w:lineRule="auto"/>
              <w:jc w:val="right"/>
            </w:pPr>
            <w:r>
              <w:rPr>
                <w:sz w:val="18"/>
              </w:rPr>
              <w:t>143,4</w:t>
            </w:r>
          </w:p>
        </w:tc>
      </w:tr>
    </w:tbl>
    <w:p w14:paraId="1338D8F6" w14:textId="77777777" w:rsidR="00AF6B6A" w:rsidRDefault="00AF6B6A">
      <w:pPr>
        <w:spacing w:after="0"/>
      </w:pPr>
    </w:p>
    <w:p w14:paraId="06E813B6" w14:textId="77777777" w:rsidR="00AF6B6A" w:rsidRDefault="00000000">
      <w:pPr>
        <w:jc w:val="both"/>
      </w:pPr>
      <w:r>
        <w:t>Pomoći iz inozemstva i od subjekata unutar općeg proračuna (63)  ostvarene su  u ukupnom iznosu od 15.301.622,55 EUR, a odnosu na prošlu godinu veće  su za 43,3%. Pomoći su sredstva dobivena iz inozemstva te od drugih subjekata unutar općeg proračuna, temelje se na zaključenim ugovorima o sufinanciranju pojedinih projekata i programa.</w:t>
      </w:r>
    </w:p>
    <w:p w14:paraId="1048E564" w14:textId="77777777" w:rsidR="00AF6B6A" w:rsidRDefault="00AF6B6A"/>
    <w:p w14:paraId="5794F09D" w14:textId="77777777" w:rsidR="00AF6B6A"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3D71B7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DF9539"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6C6B8C"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66AA69"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A43BBC"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9480FA"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24BCF5" w14:textId="77777777" w:rsidR="00AF6B6A" w:rsidRDefault="00000000">
            <w:pPr>
              <w:keepNext/>
              <w:keepLines/>
              <w:spacing w:after="0" w:line="240" w:lineRule="auto"/>
              <w:jc w:val="center"/>
            </w:pPr>
            <w:r>
              <w:rPr>
                <w:b/>
                <w:sz w:val="18"/>
              </w:rPr>
              <w:t>Indeks (%)</w:t>
            </w:r>
          </w:p>
        </w:tc>
      </w:tr>
      <w:tr w:rsidR="00AF6B6A" w14:paraId="449181E1" w14:textId="77777777">
        <w:tblPrEx>
          <w:tblCellMar>
            <w:top w:w="0" w:type="dxa"/>
            <w:bottom w:w="0" w:type="dxa"/>
          </w:tblCellMar>
        </w:tblPrEx>
        <w:trPr>
          <w:cantSplit/>
          <w:trHeight w:val="560"/>
        </w:trPr>
        <w:tc>
          <w:tcPr>
            <w:tcW w:w="700" w:type="dxa"/>
            <w:tcMar>
              <w:top w:w="0" w:type="dxa"/>
              <w:bottom w:w="0" w:type="dxa"/>
            </w:tcMar>
            <w:vAlign w:val="center"/>
          </w:tcPr>
          <w:p w14:paraId="4E895D52" w14:textId="77777777" w:rsidR="00AF6B6A" w:rsidRDefault="00000000">
            <w:pPr>
              <w:keepNext/>
              <w:keepLines/>
              <w:spacing w:after="0" w:line="240" w:lineRule="auto"/>
            </w:pPr>
            <w:r>
              <w:rPr>
                <w:sz w:val="18"/>
              </w:rPr>
              <w:t>633</w:t>
            </w:r>
          </w:p>
        </w:tc>
        <w:tc>
          <w:tcPr>
            <w:tcW w:w="3180" w:type="dxa"/>
            <w:tcMar>
              <w:top w:w="0" w:type="dxa"/>
              <w:bottom w:w="0" w:type="dxa"/>
            </w:tcMar>
            <w:vAlign w:val="center"/>
          </w:tcPr>
          <w:p w14:paraId="06CDF194" w14:textId="77777777" w:rsidR="00AF6B6A"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25B965A0" w14:textId="77777777" w:rsidR="00AF6B6A" w:rsidRDefault="00000000">
            <w:pPr>
              <w:keepNext/>
              <w:keepLines/>
              <w:spacing w:after="0" w:line="240" w:lineRule="auto"/>
            </w:pPr>
            <w:r>
              <w:rPr>
                <w:sz w:val="18"/>
              </w:rPr>
              <w:t>633</w:t>
            </w:r>
          </w:p>
        </w:tc>
        <w:tc>
          <w:tcPr>
            <w:tcW w:w="1860" w:type="dxa"/>
            <w:tcMar>
              <w:top w:w="0" w:type="dxa"/>
              <w:bottom w:w="0" w:type="dxa"/>
            </w:tcMar>
            <w:vAlign w:val="center"/>
          </w:tcPr>
          <w:p w14:paraId="547C8111" w14:textId="77777777" w:rsidR="00AF6B6A" w:rsidRDefault="00000000">
            <w:pPr>
              <w:keepNext/>
              <w:keepLines/>
              <w:spacing w:after="0" w:line="240" w:lineRule="auto"/>
              <w:jc w:val="right"/>
            </w:pPr>
            <w:r>
              <w:rPr>
                <w:sz w:val="18"/>
              </w:rPr>
              <w:t>8.248.310,24</w:t>
            </w:r>
          </w:p>
        </w:tc>
        <w:tc>
          <w:tcPr>
            <w:tcW w:w="1860" w:type="dxa"/>
            <w:tcMar>
              <w:top w:w="0" w:type="dxa"/>
              <w:bottom w:w="0" w:type="dxa"/>
            </w:tcMar>
            <w:vAlign w:val="center"/>
          </w:tcPr>
          <w:p w14:paraId="47705021" w14:textId="77777777" w:rsidR="00AF6B6A" w:rsidRDefault="00000000">
            <w:pPr>
              <w:keepNext/>
              <w:keepLines/>
              <w:spacing w:after="0" w:line="240" w:lineRule="auto"/>
              <w:jc w:val="right"/>
            </w:pPr>
            <w:r>
              <w:rPr>
                <w:sz w:val="18"/>
              </w:rPr>
              <w:t>458.894,66</w:t>
            </w:r>
          </w:p>
        </w:tc>
        <w:tc>
          <w:tcPr>
            <w:tcW w:w="700" w:type="dxa"/>
            <w:tcMar>
              <w:top w:w="0" w:type="dxa"/>
              <w:bottom w:w="0" w:type="dxa"/>
            </w:tcMar>
            <w:vAlign w:val="center"/>
          </w:tcPr>
          <w:p w14:paraId="3ABECB7E" w14:textId="77777777" w:rsidR="00AF6B6A" w:rsidRDefault="00000000">
            <w:pPr>
              <w:keepNext/>
              <w:keepLines/>
              <w:spacing w:after="0" w:line="240" w:lineRule="auto"/>
              <w:jc w:val="right"/>
            </w:pPr>
            <w:r>
              <w:rPr>
                <w:sz w:val="18"/>
              </w:rPr>
              <w:t>5,6</w:t>
            </w:r>
          </w:p>
        </w:tc>
      </w:tr>
    </w:tbl>
    <w:p w14:paraId="1D307E2A" w14:textId="77777777" w:rsidR="00AF6B6A" w:rsidRDefault="00AF6B6A">
      <w:pPr>
        <w:spacing w:after="0"/>
      </w:pPr>
    </w:p>
    <w:p w14:paraId="6864DA89" w14:textId="77777777" w:rsidR="00AF6B6A" w:rsidRDefault="00000000">
      <w:pPr>
        <w:jc w:val="both"/>
      </w:pPr>
      <w:r>
        <w:t>Pomoći proračunu  iz drugih proračuna (633) predstavljaju prihode iz državnog i županijskog  proračuna ostvarene u ukupnom iznosu 458.894,66  EUR.</w:t>
      </w:r>
    </w:p>
    <w:p w14:paraId="0020AC57" w14:textId="77777777" w:rsidR="00AF6B6A" w:rsidRDefault="00AF6B6A"/>
    <w:p w14:paraId="00802EAC" w14:textId="77777777" w:rsidR="00AF6B6A"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343589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8B1E47"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156EF0"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4D9D84"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A0B0DC"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ADD4F2"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CF0668" w14:textId="77777777" w:rsidR="00AF6B6A" w:rsidRDefault="00000000">
            <w:pPr>
              <w:keepNext/>
              <w:keepLines/>
              <w:spacing w:after="0" w:line="240" w:lineRule="auto"/>
              <w:jc w:val="center"/>
            </w:pPr>
            <w:r>
              <w:rPr>
                <w:b/>
                <w:sz w:val="18"/>
              </w:rPr>
              <w:t>Indeks (%)</w:t>
            </w:r>
          </w:p>
        </w:tc>
      </w:tr>
      <w:tr w:rsidR="00AF6B6A" w14:paraId="226F32AC" w14:textId="77777777">
        <w:tblPrEx>
          <w:tblCellMar>
            <w:top w:w="0" w:type="dxa"/>
            <w:bottom w:w="0" w:type="dxa"/>
          </w:tblCellMar>
        </w:tblPrEx>
        <w:trPr>
          <w:cantSplit/>
          <w:trHeight w:val="560"/>
        </w:trPr>
        <w:tc>
          <w:tcPr>
            <w:tcW w:w="700" w:type="dxa"/>
            <w:tcMar>
              <w:top w:w="0" w:type="dxa"/>
              <w:bottom w:w="0" w:type="dxa"/>
            </w:tcMar>
            <w:vAlign w:val="center"/>
          </w:tcPr>
          <w:p w14:paraId="04FB9052" w14:textId="77777777" w:rsidR="00AF6B6A" w:rsidRDefault="00000000">
            <w:pPr>
              <w:keepNext/>
              <w:keepLines/>
              <w:spacing w:after="0" w:line="240" w:lineRule="auto"/>
            </w:pPr>
            <w:r>
              <w:rPr>
                <w:sz w:val="18"/>
              </w:rPr>
              <w:t>6331</w:t>
            </w:r>
          </w:p>
        </w:tc>
        <w:tc>
          <w:tcPr>
            <w:tcW w:w="3180" w:type="dxa"/>
            <w:tcMar>
              <w:top w:w="0" w:type="dxa"/>
              <w:bottom w:w="0" w:type="dxa"/>
            </w:tcMar>
            <w:vAlign w:val="center"/>
          </w:tcPr>
          <w:p w14:paraId="41DC525C" w14:textId="77777777" w:rsidR="00AF6B6A"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3C507295" w14:textId="77777777" w:rsidR="00AF6B6A" w:rsidRDefault="00000000">
            <w:pPr>
              <w:keepNext/>
              <w:keepLines/>
              <w:spacing w:after="0" w:line="240" w:lineRule="auto"/>
            </w:pPr>
            <w:r>
              <w:rPr>
                <w:sz w:val="18"/>
              </w:rPr>
              <w:t>6331</w:t>
            </w:r>
          </w:p>
        </w:tc>
        <w:tc>
          <w:tcPr>
            <w:tcW w:w="1860" w:type="dxa"/>
            <w:tcMar>
              <w:top w:w="0" w:type="dxa"/>
              <w:bottom w:w="0" w:type="dxa"/>
            </w:tcMar>
            <w:vAlign w:val="center"/>
          </w:tcPr>
          <w:p w14:paraId="75488BD4" w14:textId="77777777" w:rsidR="00AF6B6A" w:rsidRDefault="00000000">
            <w:pPr>
              <w:keepNext/>
              <w:keepLines/>
              <w:spacing w:after="0" w:line="240" w:lineRule="auto"/>
              <w:jc w:val="right"/>
            </w:pPr>
            <w:r>
              <w:rPr>
                <w:sz w:val="18"/>
              </w:rPr>
              <w:t>344.773,33</w:t>
            </w:r>
          </w:p>
        </w:tc>
        <w:tc>
          <w:tcPr>
            <w:tcW w:w="1860" w:type="dxa"/>
            <w:tcMar>
              <w:top w:w="0" w:type="dxa"/>
              <w:bottom w:w="0" w:type="dxa"/>
            </w:tcMar>
            <w:vAlign w:val="center"/>
          </w:tcPr>
          <w:p w14:paraId="7B292BB7" w14:textId="77777777" w:rsidR="00AF6B6A" w:rsidRDefault="00000000">
            <w:pPr>
              <w:keepNext/>
              <w:keepLines/>
              <w:spacing w:after="0" w:line="240" w:lineRule="auto"/>
              <w:jc w:val="right"/>
            </w:pPr>
            <w:r>
              <w:rPr>
                <w:sz w:val="18"/>
              </w:rPr>
              <w:t>427.612,60</w:t>
            </w:r>
          </w:p>
        </w:tc>
        <w:tc>
          <w:tcPr>
            <w:tcW w:w="700" w:type="dxa"/>
            <w:tcMar>
              <w:top w:w="0" w:type="dxa"/>
              <w:bottom w:w="0" w:type="dxa"/>
            </w:tcMar>
            <w:vAlign w:val="center"/>
          </w:tcPr>
          <w:p w14:paraId="757EF44D" w14:textId="77777777" w:rsidR="00AF6B6A" w:rsidRDefault="00000000">
            <w:pPr>
              <w:keepNext/>
              <w:keepLines/>
              <w:spacing w:after="0" w:line="240" w:lineRule="auto"/>
              <w:jc w:val="right"/>
            </w:pPr>
            <w:r>
              <w:rPr>
                <w:sz w:val="18"/>
              </w:rPr>
              <w:t>124,0</w:t>
            </w:r>
          </w:p>
        </w:tc>
      </w:tr>
    </w:tbl>
    <w:p w14:paraId="1EF7BE56" w14:textId="77777777" w:rsidR="00AF6B6A" w:rsidRDefault="00AF6B6A">
      <w:pPr>
        <w:spacing w:after="0"/>
      </w:pPr>
    </w:p>
    <w:p w14:paraId="214DB885" w14:textId="77777777" w:rsidR="00AF6B6A" w:rsidRDefault="00000000">
      <w:pPr>
        <w:jc w:val="both"/>
      </w:pPr>
      <w:r>
        <w:t>Tekuće pomoći iznose 427.612,60 EUR, od čega se najveći dio odnosi se na fiskalnu održivost vrtića.</w:t>
      </w:r>
    </w:p>
    <w:p w14:paraId="3DAC8089" w14:textId="77777777" w:rsidR="00AF6B6A" w:rsidRDefault="00AF6B6A"/>
    <w:p w14:paraId="1DCBE6C8" w14:textId="77777777" w:rsidR="00AF6B6A"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3B826E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61466C"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D766D0"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9021A3"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674F84"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626AF9"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AE9B23" w14:textId="77777777" w:rsidR="00AF6B6A" w:rsidRDefault="00000000">
            <w:pPr>
              <w:keepNext/>
              <w:keepLines/>
              <w:spacing w:after="0" w:line="240" w:lineRule="auto"/>
              <w:jc w:val="center"/>
            </w:pPr>
            <w:r>
              <w:rPr>
                <w:b/>
                <w:sz w:val="18"/>
              </w:rPr>
              <w:t>Indeks (%)</w:t>
            </w:r>
          </w:p>
        </w:tc>
      </w:tr>
      <w:tr w:rsidR="00AF6B6A" w14:paraId="35AC70AC" w14:textId="77777777">
        <w:tblPrEx>
          <w:tblCellMar>
            <w:top w:w="0" w:type="dxa"/>
            <w:bottom w:w="0" w:type="dxa"/>
          </w:tblCellMar>
        </w:tblPrEx>
        <w:trPr>
          <w:cantSplit/>
          <w:trHeight w:val="560"/>
        </w:trPr>
        <w:tc>
          <w:tcPr>
            <w:tcW w:w="700" w:type="dxa"/>
            <w:tcMar>
              <w:top w:w="0" w:type="dxa"/>
              <w:bottom w:w="0" w:type="dxa"/>
            </w:tcMar>
            <w:vAlign w:val="center"/>
          </w:tcPr>
          <w:p w14:paraId="15E537A9" w14:textId="77777777" w:rsidR="00AF6B6A" w:rsidRDefault="00000000">
            <w:pPr>
              <w:keepNext/>
              <w:keepLines/>
              <w:spacing w:after="0" w:line="240" w:lineRule="auto"/>
            </w:pPr>
            <w:r>
              <w:rPr>
                <w:sz w:val="18"/>
              </w:rPr>
              <w:t>6332</w:t>
            </w:r>
          </w:p>
        </w:tc>
        <w:tc>
          <w:tcPr>
            <w:tcW w:w="3180" w:type="dxa"/>
            <w:tcMar>
              <w:top w:w="0" w:type="dxa"/>
              <w:bottom w:w="0" w:type="dxa"/>
            </w:tcMar>
            <w:vAlign w:val="center"/>
          </w:tcPr>
          <w:p w14:paraId="15951A86" w14:textId="77777777" w:rsidR="00AF6B6A"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14274F23" w14:textId="77777777" w:rsidR="00AF6B6A" w:rsidRDefault="00000000">
            <w:pPr>
              <w:keepNext/>
              <w:keepLines/>
              <w:spacing w:after="0" w:line="240" w:lineRule="auto"/>
            </w:pPr>
            <w:r>
              <w:rPr>
                <w:sz w:val="18"/>
              </w:rPr>
              <w:t>6332</w:t>
            </w:r>
          </w:p>
        </w:tc>
        <w:tc>
          <w:tcPr>
            <w:tcW w:w="1860" w:type="dxa"/>
            <w:tcMar>
              <w:top w:w="0" w:type="dxa"/>
              <w:bottom w:w="0" w:type="dxa"/>
            </w:tcMar>
            <w:vAlign w:val="center"/>
          </w:tcPr>
          <w:p w14:paraId="4313BDFE" w14:textId="77777777" w:rsidR="00AF6B6A" w:rsidRDefault="00000000">
            <w:pPr>
              <w:keepNext/>
              <w:keepLines/>
              <w:spacing w:after="0" w:line="240" w:lineRule="auto"/>
              <w:jc w:val="right"/>
            </w:pPr>
            <w:r>
              <w:rPr>
                <w:sz w:val="18"/>
              </w:rPr>
              <w:t>7.903.536,91</w:t>
            </w:r>
          </w:p>
        </w:tc>
        <w:tc>
          <w:tcPr>
            <w:tcW w:w="1860" w:type="dxa"/>
            <w:tcMar>
              <w:top w:w="0" w:type="dxa"/>
              <w:bottom w:w="0" w:type="dxa"/>
            </w:tcMar>
            <w:vAlign w:val="center"/>
          </w:tcPr>
          <w:p w14:paraId="676C8FAA" w14:textId="77777777" w:rsidR="00AF6B6A" w:rsidRDefault="00000000">
            <w:pPr>
              <w:keepNext/>
              <w:keepLines/>
              <w:spacing w:after="0" w:line="240" w:lineRule="auto"/>
              <w:jc w:val="right"/>
            </w:pPr>
            <w:r>
              <w:rPr>
                <w:sz w:val="18"/>
              </w:rPr>
              <w:t>31.282,06</w:t>
            </w:r>
          </w:p>
        </w:tc>
        <w:tc>
          <w:tcPr>
            <w:tcW w:w="700" w:type="dxa"/>
            <w:tcMar>
              <w:top w:w="0" w:type="dxa"/>
              <w:bottom w:w="0" w:type="dxa"/>
            </w:tcMar>
            <w:vAlign w:val="center"/>
          </w:tcPr>
          <w:p w14:paraId="4AD05728" w14:textId="77777777" w:rsidR="00AF6B6A" w:rsidRDefault="00000000">
            <w:pPr>
              <w:keepNext/>
              <w:keepLines/>
              <w:spacing w:after="0" w:line="240" w:lineRule="auto"/>
              <w:jc w:val="right"/>
            </w:pPr>
            <w:r>
              <w:rPr>
                <w:sz w:val="18"/>
              </w:rPr>
              <w:t>0,4</w:t>
            </w:r>
          </w:p>
        </w:tc>
      </w:tr>
    </w:tbl>
    <w:p w14:paraId="336B59D7" w14:textId="77777777" w:rsidR="00AF6B6A" w:rsidRDefault="00AF6B6A">
      <w:pPr>
        <w:spacing w:after="0"/>
      </w:pPr>
    </w:p>
    <w:p w14:paraId="38626167" w14:textId="77777777" w:rsidR="00AF6B6A" w:rsidRDefault="00000000">
      <w:pPr>
        <w:jc w:val="both"/>
      </w:pPr>
      <w:r>
        <w:t>Kapitalne pomoći iz proračuna ostvarene su u iznosu 31.282,06 EUR  i manje su u odnosu na 2024. jer se u 2025. godini sredstva Fonda za zaštitu okoliša i energetsku učinkovitost za Sanaciju zatvorenog odlagališta neopasnog otpada na lokaciji gospodarska zone Brezje knjiže na 6342 kapitalne pomoći od izvanproračunskih korisnika.</w:t>
      </w:r>
    </w:p>
    <w:p w14:paraId="313F6D28" w14:textId="77777777" w:rsidR="00AF6B6A" w:rsidRDefault="00AF6B6A"/>
    <w:p w14:paraId="694B6EF8" w14:textId="77777777" w:rsidR="00AF6B6A"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49A72D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ED1F53"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D776F6"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FBA3F7"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CE2A72"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3F50F2"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114594" w14:textId="77777777" w:rsidR="00AF6B6A" w:rsidRDefault="00000000">
            <w:pPr>
              <w:keepNext/>
              <w:keepLines/>
              <w:spacing w:after="0" w:line="240" w:lineRule="auto"/>
              <w:jc w:val="center"/>
            </w:pPr>
            <w:r>
              <w:rPr>
                <w:b/>
                <w:sz w:val="18"/>
              </w:rPr>
              <w:t>Indeks (%)</w:t>
            </w:r>
          </w:p>
        </w:tc>
      </w:tr>
      <w:tr w:rsidR="00AF6B6A" w14:paraId="6B84909B" w14:textId="77777777">
        <w:tblPrEx>
          <w:tblCellMar>
            <w:top w:w="0" w:type="dxa"/>
            <w:bottom w:w="0" w:type="dxa"/>
          </w:tblCellMar>
        </w:tblPrEx>
        <w:trPr>
          <w:cantSplit/>
          <w:trHeight w:val="560"/>
        </w:trPr>
        <w:tc>
          <w:tcPr>
            <w:tcW w:w="700" w:type="dxa"/>
            <w:tcMar>
              <w:top w:w="0" w:type="dxa"/>
              <w:bottom w:w="0" w:type="dxa"/>
            </w:tcMar>
            <w:vAlign w:val="center"/>
          </w:tcPr>
          <w:p w14:paraId="2D8F7FA4" w14:textId="77777777" w:rsidR="00AF6B6A" w:rsidRDefault="00000000">
            <w:pPr>
              <w:keepNext/>
              <w:keepLines/>
              <w:spacing w:after="0" w:line="240" w:lineRule="auto"/>
            </w:pPr>
            <w:r>
              <w:rPr>
                <w:sz w:val="18"/>
              </w:rPr>
              <w:t>634</w:t>
            </w:r>
          </w:p>
        </w:tc>
        <w:tc>
          <w:tcPr>
            <w:tcW w:w="3180" w:type="dxa"/>
            <w:tcMar>
              <w:top w:w="0" w:type="dxa"/>
              <w:bottom w:w="0" w:type="dxa"/>
            </w:tcMar>
            <w:vAlign w:val="center"/>
          </w:tcPr>
          <w:p w14:paraId="752088D9" w14:textId="77777777" w:rsidR="00AF6B6A" w:rsidRDefault="000000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7C2ED79A" w14:textId="77777777" w:rsidR="00AF6B6A" w:rsidRDefault="00000000">
            <w:pPr>
              <w:keepNext/>
              <w:keepLines/>
              <w:spacing w:after="0" w:line="240" w:lineRule="auto"/>
            </w:pPr>
            <w:r>
              <w:rPr>
                <w:sz w:val="18"/>
              </w:rPr>
              <w:t>634</w:t>
            </w:r>
          </w:p>
        </w:tc>
        <w:tc>
          <w:tcPr>
            <w:tcW w:w="1860" w:type="dxa"/>
            <w:tcMar>
              <w:top w:w="0" w:type="dxa"/>
              <w:bottom w:w="0" w:type="dxa"/>
            </w:tcMar>
            <w:vAlign w:val="center"/>
          </w:tcPr>
          <w:p w14:paraId="2C122901" w14:textId="77777777" w:rsidR="00AF6B6A" w:rsidRDefault="00000000">
            <w:pPr>
              <w:keepNext/>
              <w:keepLines/>
              <w:spacing w:after="0" w:line="240" w:lineRule="auto"/>
              <w:jc w:val="right"/>
            </w:pPr>
            <w:r>
              <w:rPr>
                <w:sz w:val="18"/>
              </w:rPr>
              <w:t>572.904,57</w:t>
            </w:r>
          </w:p>
        </w:tc>
        <w:tc>
          <w:tcPr>
            <w:tcW w:w="1860" w:type="dxa"/>
            <w:tcMar>
              <w:top w:w="0" w:type="dxa"/>
              <w:bottom w:w="0" w:type="dxa"/>
            </w:tcMar>
            <w:vAlign w:val="center"/>
          </w:tcPr>
          <w:p w14:paraId="4FBBE128" w14:textId="77777777" w:rsidR="00AF6B6A" w:rsidRDefault="00000000">
            <w:pPr>
              <w:keepNext/>
              <w:keepLines/>
              <w:spacing w:after="0" w:line="240" w:lineRule="auto"/>
              <w:jc w:val="right"/>
            </w:pPr>
            <w:r>
              <w:rPr>
                <w:sz w:val="18"/>
              </w:rPr>
              <w:t>13.135.709,04</w:t>
            </w:r>
          </w:p>
        </w:tc>
        <w:tc>
          <w:tcPr>
            <w:tcW w:w="700" w:type="dxa"/>
            <w:tcMar>
              <w:top w:w="0" w:type="dxa"/>
              <w:bottom w:w="0" w:type="dxa"/>
            </w:tcMar>
            <w:vAlign w:val="center"/>
          </w:tcPr>
          <w:p w14:paraId="75B9948B" w14:textId="77777777" w:rsidR="00AF6B6A" w:rsidRDefault="00000000">
            <w:pPr>
              <w:keepNext/>
              <w:keepLines/>
              <w:spacing w:after="0" w:line="240" w:lineRule="auto"/>
              <w:jc w:val="right"/>
            </w:pPr>
            <w:r>
              <w:rPr>
                <w:sz w:val="18"/>
              </w:rPr>
              <w:t>2292,8</w:t>
            </w:r>
          </w:p>
        </w:tc>
      </w:tr>
    </w:tbl>
    <w:p w14:paraId="57AC6ABD" w14:textId="77777777" w:rsidR="00AF6B6A" w:rsidRDefault="00AF6B6A">
      <w:pPr>
        <w:spacing w:after="0"/>
      </w:pPr>
    </w:p>
    <w:p w14:paraId="0C87CC2D" w14:textId="77777777" w:rsidR="00AF6B6A" w:rsidRDefault="00000000">
      <w:pPr>
        <w:jc w:val="both"/>
      </w:pPr>
      <w:r>
        <w:t>Pomoći od izvanproračunskih korisnika (634) ostvarene su u iznosu 13.135.709,04 EUR. Od 2025. godine sredstva Fonda za zaštitu okoliša i energetsku učinkovitost za Sanaciju zatvorenog odlagališta neopasnog otpada na lokaciji gospodarska zone Brezje knjiže na 6342 kapitalne pomoći od izvanproračunskih korisnika, što je rezultiralo povećanjem na ovom računu.</w:t>
      </w:r>
    </w:p>
    <w:p w14:paraId="50B082F5" w14:textId="77777777" w:rsidR="00AF6B6A" w:rsidRDefault="00000000">
      <w:pPr>
        <w:jc w:val="both"/>
      </w:pPr>
      <w:r>
        <w:t>Iznos od 76.557,19 EUR doznačen je od Fonda za zaštitu okoliša i energetsku učinkovitost za tekuće projekte grada Varaždina, dok je iznos do 592.609,98 EUR doznačen od Županijske uprava za ceste za održavanje cesta. Radi se  o 7,8% primitaka s osnove godišnje naknade za uporabu javnih  cesta koja se plaća pri registraciji motornih i priključnih vozila umanjenu za naknadu koju ŽUC plaća stanicama za tehnički pregled vozila kao i vraćeni iznos naknade vlasnicima odjavljenih vozila. Županijska uprava mjesečno dostavlja obračun naplaćene naknade i Gradu uplaćuje pripadajući iznos.</w:t>
      </w:r>
    </w:p>
    <w:p w14:paraId="1E9CDC14" w14:textId="77777777" w:rsidR="00AF6B6A" w:rsidRDefault="00000000">
      <w:pPr>
        <w:jc w:val="both"/>
      </w:pPr>
      <w:r>
        <w:lastRenderedPageBreak/>
        <w:t>Sredstva za Sanaciju zatvorenog odlagališta neopasnog otpada na lokaciji gospodarska zone Brezje iznose 12.277.191,96 EUR, dok se iznos od 109.349,91 EUR odnosi na projekt zamjene rashladnog sustava u Tehnološkom parku, a 80.000,00 EUR doznačeno je za projekt Regulacije i sigurnosti u prometu. </w:t>
      </w:r>
    </w:p>
    <w:p w14:paraId="02B3B466" w14:textId="77777777" w:rsidR="00AF6B6A" w:rsidRDefault="00AF6B6A"/>
    <w:p w14:paraId="431C6B52" w14:textId="77777777" w:rsidR="00AF6B6A"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348191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4E0075"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7466EA"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9CF3C1"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3FF74C"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FF03B0"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3D520C" w14:textId="77777777" w:rsidR="00AF6B6A" w:rsidRDefault="00000000">
            <w:pPr>
              <w:keepNext/>
              <w:keepLines/>
              <w:spacing w:after="0" w:line="240" w:lineRule="auto"/>
              <w:jc w:val="center"/>
            </w:pPr>
            <w:r>
              <w:rPr>
                <w:b/>
                <w:sz w:val="18"/>
              </w:rPr>
              <w:t>Indeks (%)</w:t>
            </w:r>
          </w:p>
        </w:tc>
      </w:tr>
      <w:tr w:rsidR="00AF6B6A" w14:paraId="35317C72" w14:textId="77777777">
        <w:tblPrEx>
          <w:tblCellMar>
            <w:top w:w="0" w:type="dxa"/>
            <w:bottom w:w="0" w:type="dxa"/>
          </w:tblCellMar>
        </w:tblPrEx>
        <w:trPr>
          <w:cantSplit/>
          <w:trHeight w:val="560"/>
        </w:trPr>
        <w:tc>
          <w:tcPr>
            <w:tcW w:w="700" w:type="dxa"/>
            <w:tcMar>
              <w:top w:w="0" w:type="dxa"/>
              <w:bottom w:w="0" w:type="dxa"/>
            </w:tcMar>
            <w:vAlign w:val="center"/>
          </w:tcPr>
          <w:p w14:paraId="69C1EC55" w14:textId="77777777" w:rsidR="00AF6B6A" w:rsidRDefault="00000000">
            <w:pPr>
              <w:keepNext/>
              <w:keepLines/>
              <w:spacing w:after="0" w:line="240" w:lineRule="auto"/>
            </w:pPr>
            <w:r>
              <w:rPr>
                <w:sz w:val="18"/>
              </w:rPr>
              <w:t>635</w:t>
            </w:r>
          </w:p>
        </w:tc>
        <w:tc>
          <w:tcPr>
            <w:tcW w:w="3180" w:type="dxa"/>
            <w:tcMar>
              <w:top w:w="0" w:type="dxa"/>
              <w:bottom w:w="0" w:type="dxa"/>
            </w:tcMar>
            <w:vAlign w:val="center"/>
          </w:tcPr>
          <w:p w14:paraId="4F947ACE" w14:textId="77777777" w:rsidR="00AF6B6A" w:rsidRDefault="00000000">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0E380954" w14:textId="77777777" w:rsidR="00AF6B6A" w:rsidRDefault="00000000">
            <w:pPr>
              <w:keepNext/>
              <w:keepLines/>
              <w:spacing w:after="0" w:line="240" w:lineRule="auto"/>
            </w:pPr>
            <w:r>
              <w:rPr>
                <w:sz w:val="18"/>
              </w:rPr>
              <w:t>635</w:t>
            </w:r>
          </w:p>
        </w:tc>
        <w:tc>
          <w:tcPr>
            <w:tcW w:w="1860" w:type="dxa"/>
            <w:tcMar>
              <w:top w:w="0" w:type="dxa"/>
              <w:bottom w:w="0" w:type="dxa"/>
            </w:tcMar>
            <w:vAlign w:val="center"/>
          </w:tcPr>
          <w:p w14:paraId="16CAA2DA" w14:textId="77777777" w:rsidR="00AF6B6A" w:rsidRDefault="00000000">
            <w:pPr>
              <w:keepNext/>
              <w:keepLines/>
              <w:spacing w:after="0" w:line="240" w:lineRule="auto"/>
              <w:jc w:val="right"/>
            </w:pPr>
            <w:r>
              <w:rPr>
                <w:sz w:val="18"/>
              </w:rPr>
              <w:t>602.767,74</w:t>
            </w:r>
          </w:p>
        </w:tc>
        <w:tc>
          <w:tcPr>
            <w:tcW w:w="1860" w:type="dxa"/>
            <w:tcMar>
              <w:top w:w="0" w:type="dxa"/>
              <w:bottom w:w="0" w:type="dxa"/>
            </w:tcMar>
            <w:vAlign w:val="center"/>
          </w:tcPr>
          <w:p w14:paraId="76D635AC" w14:textId="77777777" w:rsidR="00AF6B6A" w:rsidRDefault="00000000">
            <w:pPr>
              <w:keepNext/>
              <w:keepLines/>
              <w:spacing w:after="0" w:line="240" w:lineRule="auto"/>
              <w:jc w:val="right"/>
            </w:pPr>
            <w:r>
              <w:rPr>
                <w:sz w:val="18"/>
              </w:rPr>
              <w:t>613.407,02</w:t>
            </w:r>
          </w:p>
        </w:tc>
        <w:tc>
          <w:tcPr>
            <w:tcW w:w="700" w:type="dxa"/>
            <w:tcMar>
              <w:top w:w="0" w:type="dxa"/>
              <w:bottom w:w="0" w:type="dxa"/>
            </w:tcMar>
            <w:vAlign w:val="center"/>
          </w:tcPr>
          <w:p w14:paraId="12D5F555" w14:textId="77777777" w:rsidR="00AF6B6A" w:rsidRDefault="00000000">
            <w:pPr>
              <w:keepNext/>
              <w:keepLines/>
              <w:spacing w:after="0" w:line="240" w:lineRule="auto"/>
              <w:jc w:val="right"/>
            </w:pPr>
            <w:r>
              <w:rPr>
                <w:sz w:val="18"/>
              </w:rPr>
              <w:t>101,8</w:t>
            </w:r>
          </w:p>
        </w:tc>
      </w:tr>
    </w:tbl>
    <w:p w14:paraId="467FEE97" w14:textId="77777777" w:rsidR="00AF6B6A" w:rsidRDefault="00AF6B6A">
      <w:pPr>
        <w:spacing w:after="0"/>
      </w:pPr>
    </w:p>
    <w:p w14:paraId="34F0F424" w14:textId="77777777" w:rsidR="00AF6B6A" w:rsidRDefault="00000000">
      <w:pPr>
        <w:jc w:val="both"/>
      </w:pPr>
      <w:r>
        <w:t>Pomoći izravnanja za decentralizirane funkcije (635) ostvarene su u iznosu 613.407,02 EUR, odnosno 1,8% više od prošle godine. Iznos od 444.069,35 EUR odnosi se na potpore izravnanja za decentralizirane funkcije vatrogastva, a iznos od 169.337,67 EUR za potpore izravnanja za decentralizirane funkcije osnovnog školstva.</w:t>
      </w:r>
    </w:p>
    <w:p w14:paraId="1AD2E864" w14:textId="77777777" w:rsidR="00AF6B6A" w:rsidRDefault="00AF6B6A"/>
    <w:p w14:paraId="2829F99B" w14:textId="77777777" w:rsidR="00AF6B6A"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DF320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596867"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0720FF"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898791"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22909B"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12565C"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87EF46" w14:textId="77777777" w:rsidR="00AF6B6A" w:rsidRDefault="00000000">
            <w:pPr>
              <w:keepNext/>
              <w:keepLines/>
              <w:spacing w:after="0" w:line="240" w:lineRule="auto"/>
              <w:jc w:val="center"/>
            </w:pPr>
            <w:r>
              <w:rPr>
                <w:b/>
                <w:sz w:val="18"/>
              </w:rPr>
              <w:t>Indeks (%)</w:t>
            </w:r>
          </w:p>
        </w:tc>
      </w:tr>
      <w:tr w:rsidR="00AF6B6A" w14:paraId="4D5533FA" w14:textId="77777777">
        <w:tblPrEx>
          <w:tblCellMar>
            <w:top w:w="0" w:type="dxa"/>
            <w:bottom w:w="0" w:type="dxa"/>
          </w:tblCellMar>
        </w:tblPrEx>
        <w:trPr>
          <w:cantSplit/>
          <w:trHeight w:val="560"/>
        </w:trPr>
        <w:tc>
          <w:tcPr>
            <w:tcW w:w="700" w:type="dxa"/>
            <w:tcMar>
              <w:top w:w="0" w:type="dxa"/>
              <w:bottom w:w="0" w:type="dxa"/>
            </w:tcMar>
            <w:vAlign w:val="center"/>
          </w:tcPr>
          <w:p w14:paraId="433F3B09" w14:textId="77777777" w:rsidR="00AF6B6A" w:rsidRDefault="00000000">
            <w:pPr>
              <w:keepNext/>
              <w:keepLines/>
              <w:spacing w:after="0" w:line="240" w:lineRule="auto"/>
            </w:pPr>
            <w:r>
              <w:rPr>
                <w:sz w:val="18"/>
              </w:rPr>
              <w:t>638</w:t>
            </w:r>
          </w:p>
        </w:tc>
        <w:tc>
          <w:tcPr>
            <w:tcW w:w="3180" w:type="dxa"/>
            <w:tcMar>
              <w:top w:w="0" w:type="dxa"/>
              <w:bottom w:w="0" w:type="dxa"/>
            </w:tcMar>
            <w:vAlign w:val="center"/>
          </w:tcPr>
          <w:p w14:paraId="6BC88FD3" w14:textId="77777777" w:rsidR="00AF6B6A"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08427D67" w14:textId="77777777" w:rsidR="00AF6B6A" w:rsidRDefault="00000000">
            <w:pPr>
              <w:keepNext/>
              <w:keepLines/>
              <w:spacing w:after="0" w:line="240" w:lineRule="auto"/>
            </w:pPr>
            <w:r>
              <w:rPr>
                <w:sz w:val="18"/>
              </w:rPr>
              <w:t>638</w:t>
            </w:r>
          </w:p>
        </w:tc>
        <w:tc>
          <w:tcPr>
            <w:tcW w:w="1860" w:type="dxa"/>
            <w:tcMar>
              <w:top w:w="0" w:type="dxa"/>
              <w:bottom w:w="0" w:type="dxa"/>
            </w:tcMar>
            <w:vAlign w:val="center"/>
          </w:tcPr>
          <w:p w14:paraId="79D193AF" w14:textId="77777777" w:rsidR="00AF6B6A" w:rsidRDefault="00000000">
            <w:pPr>
              <w:keepNext/>
              <w:keepLines/>
              <w:spacing w:after="0" w:line="240" w:lineRule="auto"/>
              <w:jc w:val="right"/>
            </w:pPr>
            <w:r>
              <w:rPr>
                <w:sz w:val="18"/>
              </w:rPr>
              <w:t>1.237.575,29</w:t>
            </w:r>
          </w:p>
        </w:tc>
        <w:tc>
          <w:tcPr>
            <w:tcW w:w="1860" w:type="dxa"/>
            <w:tcMar>
              <w:top w:w="0" w:type="dxa"/>
              <w:bottom w:w="0" w:type="dxa"/>
            </w:tcMar>
            <w:vAlign w:val="center"/>
          </w:tcPr>
          <w:p w14:paraId="781B9469" w14:textId="77777777" w:rsidR="00AF6B6A" w:rsidRDefault="00000000">
            <w:pPr>
              <w:keepNext/>
              <w:keepLines/>
              <w:spacing w:after="0" w:line="240" w:lineRule="auto"/>
              <w:jc w:val="right"/>
            </w:pPr>
            <w:r>
              <w:rPr>
                <w:sz w:val="18"/>
              </w:rPr>
              <w:t>1.093.611,83</w:t>
            </w:r>
          </w:p>
        </w:tc>
        <w:tc>
          <w:tcPr>
            <w:tcW w:w="700" w:type="dxa"/>
            <w:tcMar>
              <w:top w:w="0" w:type="dxa"/>
              <w:bottom w:w="0" w:type="dxa"/>
            </w:tcMar>
            <w:vAlign w:val="center"/>
          </w:tcPr>
          <w:p w14:paraId="55197974" w14:textId="77777777" w:rsidR="00AF6B6A" w:rsidRDefault="00000000">
            <w:pPr>
              <w:keepNext/>
              <w:keepLines/>
              <w:spacing w:after="0" w:line="240" w:lineRule="auto"/>
              <w:jc w:val="right"/>
            </w:pPr>
            <w:r>
              <w:rPr>
                <w:sz w:val="18"/>
              </w:rPr>
              <w:t>88,4</w:t>
            </w:r>
          </w:p>
        </w:tc>
      </w:tr>
    </w:tbl>
    <w:p w14:paraId="58B7D9AE" w14:textId="77777777" w:rsidR="00AF6B6A" w:rsidRDefault="00AF6B6A">
      <w:pPr>
        <w:spacing w:after="0"/>
      </w:pPr>
    </w:p>
    <w:p w14:paraId="2026DC94" w14:textId="77777777" w:rsidR="00AF6B6A" w:rsidRDefault="00000000">
      <w:pPr>
        <w:jc w:val="both"/>
      </w:pPr>
      <w:r>
        <w:t>Pomoći temeljem prijenosa EU sredstava (638) ostvarene su u iznosu 1.093.611,83 EUR što je 11,63% manje  u odnosu na  2024. godinu.</w:t>
      </w:r>
    </w:p>
    <w:p w14:paraId="0DE8D09E" w14:textId="77777777" w:rsidR="00AF6B6A" w:rsidRDefault="00AF6B6A"/>
    <w:p w14:paraId="3797EF60" w14:textId="77777777" w:rsidR="00AF6B6A"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3F828D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C715A2"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95C6F0"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FDABEB"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B94232"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2D3A40"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208B09" w14:textId="77777777" w:rsidR="00AF6B6A" w:rsidRDefault="00000000">
            <w:pPr>
              <w:keepNext/>
              <w:keepLines/>
              <w:spacing w:after="0" w:line="240" w:lineRule="auto"/>
              <w:jc w:val="center"/>
            </w:pPr>
            <w:r>
              <w:rPr>
                <w:b/>
                <w:sz w:val="18"/>
              </w:rPr>
              <w:t>Indeks (%)</w:t>
            </w:r>
          </w:p>
        </w:tc>
      </w:tr>
      <w:tr w:rsidR="00AF6B6A" w14:paraId="778EC49B" w14:textId="77777777">
        <w:tblPrEx>
          <w:tblCellMar>
            <w:top w:w="0" w:type="dxa"/>
            <w:bottom w:w="0" w:type="dxa"/>
          </w:tblCellMar>
        </w:tblPrEx>
        <w:trPr>
          <w:cantSplit/>
          <w:trHeight w:val="560"/>
        </w:trPr>
        <w:tc>
          <w:tcPr>
            <w:tcW w:w="700" w:type="dxa"/>
            <w:tcMar>
              <w:top w:w="0" w:type="dxa"/>
              <w:bottom w:w="0" w:type="dxa"/>
            </w:tcMar>
            <w:vAlign w:val="center"/>
          </w:tcPr>
          <w:p w14:paraId="0E744D59" w14:textId="77777777" w:rsidR="00AF6B6A" w:rsidRDefault="00000000">
            <w:pPr>
              <w:keepNext/>
              <w:keepLines/>
              <w:spacing w:after="0" w:line="240" w:lineRule="auto"/>
            </w:pPr>
            <w:r>
              <w:rPr>
                <w:sz w:val="18"/>
              </w:rPr>
              <w:t>6381</w:t>
            </w:r>
          </w:p>
        </w:tc>
        <w:tc>
          <w:tcPr>
            <w:tcW w:w="3180" w:type="dxa"/>
            <w:tcMar>
              <w:top w:w="0" w:type="dxa"/>
              <w:bottom w:w="0" w:type="dxa"/>
            </w:tcMar>
            <w:vAlign w:val="center"/>
          </w:tcPr>
          <w:p w14:paraId="1EC7F88C" w14:textId="77777777" w:rsidR="00AF6B6A"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7896C296" w14:textId="77777777" w:rsidR="00AF6B6A" w:rsidRDefault="00000000">
            <w:pPr>
              <w:keepNext/>
              <w:keepLines/>
              <w:spacing w:after="0" w:line="240" w:lineRule="auto"/>
            </w:pPr>
            <w:r>
              <w:rPr>
                <w:sz w:val="18"/>
              </w:rPr>
              <w:t>6381</w:t>
            </w:r>
          </w:p>
        </w:tc>
        <w:tc>
          <w:tcPr>
            <w:tcW w:w="1860" w:type="dxa"/>
            <w:tcMar>
              <w:top w:w="0" w:type="dxa"/>
              <w:bottom w:w="0" w:type="dxa"/>
            </w:tcMar>
            <w:vAlign w:val="center"/>
          </w:tcPr>
          <w:p w14:paraId="4AB3E961" w14:textId="77777777" w:rsidR="00AF6B6A" w:rsidRDefault="00000000">
            <w:pPr>
              <w:keepNext/>
              <w:keepLines/>
              <w:spacing w:after="0" w:line="240" w:lineRule="auto"/>
              <w:jc w:val="right"/>
            </w:pPr>
            <w:r>
              <w:rPr>
                <w:sz w:val="18"/>
              </w:rPr>
              <w:t>163.895,13</w:t>
            </w:r>
          </w:p>
        </w:tc>
        <w:tc>
          <w:tcPr>
            <w:tcW w:w="1860" w:type="dxa"/>
            <w:tcMar>
              <w:top w:w="0" w:type="dxa"/>
              <w:bottom w:w="0" w:type="dxa"/>
            </w:tcMar>
            <w:vAlign w:val="center"/>
          </w:tcPr>
          <w:p w14:paraId="730D15DC" w14:textId="77777777" w:rsidR="00AF6B6A" w:rsidRDefault="00000000">
            <w:pPr>
              <w:keepNext/>
              <w:keepLines/>
              <w:spacing w:after="0" w:line="240" w:lineRule="auto"/>
              <w:jc w:val="right"/>
            </w:pPr>
            <w:r>
              <w:rPr>
                <w:sz w:val="18"/>
              </w:rPr>
              <w:t>953.086,39</w:t>
            </w:r>
          </w:p>
        </w:tc>
        <w:tc>
          <w:tcPr>
            <w:tcW w:w="700" w:type="dxa"/>
            <w:tcMar>
              <w:top w:w="0" w:type="dxa"/>
              <w:bottom w:w="0" w:type="dxa"/>
            </w:tcMar>
            <w:vAlign w:val="center"/>
          </w:tcPr>
          <w:p w14:paraId="580CA124" w14:textId="77777777" w:rsidR="00AF6B6A" w:rsidRDefault="00000000">
            <w:pPr>
              <w:keepNext/>
              <w:keepLines/>
              <w:spacing w:after="0" w:line="240" w:lineRule="auto"/>
              <w:jc w:val="right"/>
            </w:pPr>
            <w:r>
              <w:rPr>
                <w:sz w:val="18"/>
              </w:rPr>
              <w:t>581,5</w:t>
            </w:r>
          </w:p>
        </w:tc>
      </w:tr>
    </w:tbl>
    <w:p w14:paraId="3B19690B" w14:textId="77777777" w:rsidR="00AF6B6A" w:rsidRDefault="00AF6B6A">
      <w:pPr>
        <w:spacing w:after="0"/>
      </w:pPr>
    </w:p>
    <w:p w14:paraId="58DF92DA" w14:textId="77777777" w:rsidR="00AF6B6A" w:rsidRDefault="00000000">
      <w:pPr>
        <w:jc w:val="both"/>
      </w:pPr>
      <w:r>
        <w:t>Tekuće pomoći temeljem prijenosa EU sredstava (6381) ostvarene su u iznosu od 953.086,39 EUR za projekte PONOS V, MAURICE, GINERVA, Mlijeko za opskrbu škola, Školski medni dan.</w:t>
      </w:r>
    </w:p>
    <w:p w14:paraId="14119675" w14:textId="77777777" w:rsidR="00AF6B6A" w:rsidRDefault="00AF6B6A"/>
    <w:p w14:paraId="01C5B124" w14:textId="77777777" w:rsidR="00AF6B6A"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DB575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29731E"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3212DB"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0A1494"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C4545F"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E59BDA"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98BDC7" w14:textId="77777777" w:rsidR="00AF6B6A" w:rsidRDefault="00000000">
            <w:pPr>
              <w:keepNext/>
              <w:keepLines/>
              <w:spacing w:after="0" w:line="240" w:lineRule="auto"/>
              <w:jc w:val="center"/>
            </w:pPr>
            <w:r>
              <w:rPr>
                <w:b/>
                <w:sz w:val="18"/>
              </w:rPr>
              <w:t>Indeks (%)</w:t>
            </w:r>
          </w:p>
        </w:tc>
      </w:tr>
      <w:tr w:rsidR="00AF6B6A" w14:paraId="066A1C22" w14:textId="77777777">
        <w:tblPrEx>
          <w:tblCellMar>
            <w:top w:w="0" w:type="dxa"/>
            <w:bottom w:w="0" w:type="dxa"/>
          </w:tblCellMar>
        </w:tblPrEx>
        <w:trPr>
          <w:cantSplit/>
          <w:trHeight w:val="560"/>
        </w:trPr>
        <w:tc>
          <w:tcPr>
            <w:tcW w:w="700" w:type="dxa"/>
            <w:tcMar>
              <w:top w:w="0" w:type="dxa"/>
              <w:bottom w:w="0" w:type="dxa"/>
            </w:tcMar>
            <w:vAlign w:val="center"/>
          </w:tcPr>
          <w:p w14:paraId="0563D36B" w14:textId="77777777" w:rsidR="00AF6B6A" w:rsidRDefault="00000000">
            <w:pPr>
              <w:keepNext/>
              <w:keepLines/>
              <w:spacing w:after="0" w:line="240" w:lineRule="auto"/>
            </w:pPr>
            <w:r>
              <w:rPr>
                <w:sz w:val="18"/>
              </w:rPr>
              <w:t>6382</w:t>
            </w:r>
          </w:p>
        </w:tc>
        <w:tc>
          <w:tcPr>
            <w:tcW w:w="3180" w:type="dxa"/>
            <w:tcMar>
              <w:top w:w="0" w:type="dxa"/>
              <w:bottom w:w="0" w:type="dxa"/>
            </w:tcMar>
            <w:vAlign w:val="center"/>
          </w:tcPr>
          <w:p w14:paraId="61B25B8D" w14:textId="77777777" w:rsidR="00AF6B6A"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126F2C75" w14:textId="77777777" w:rsidR="00AF6B6A" w:rsidRDefault="00000000">
            <w:pPr>
              <w:keepNext/>
              <w:keepLines/>
              <w:spacing w:after="0" w:line="240" w:lineRule="auto"/>
            </w:pPr>
            <w:r>
              <w:rPr>
                <w:sz w:val="18"/>
              </w:rPr>
              <w:t>6382</w:t>
            </w:r>
          </w:p>
        </w:tc>
        <w:tc>
          <w:tcPr>
            <w:tcW w:w="1860" w:type="dxa"/>
            <w:tcMar>
              <w:top w:w="0" w:type="dxa"/>
              <w:bottom w:w="0" w:type="dxa"/>
            </w:tcMar>
            <w:vAlign w:val="center"/>
          </w:tcPr>
          <w:p w14:paraId="4E093E20" w14:textId="77777777" w:rsidR="00AF6B6A" w:rsidRDefault="00000000">
            <w:pPr>
              <w:keepNext/>
              <w:keepLines/>
              <w:spacing w:after="0" w:line="240" w:lineRule="auto"/>
              <w:jc w:val="right"/>
            </w:pPr>
            <w:r>
              <w:rPr>
                <w:sz w:val="18"/>
              </w:rPr>
              <w:t>1.073.680,16</w:t>
            </w:r>
          </w:p>
        </w:tc>
        <w:tc>
          <w:tcPr>
            <w:tcW w:w="1860" w:type="dxa"/>
            <w:tcMar>
              <w:top w:w="0" w:type="dxa"/>
              <w:bottom w:w="0" w:type="dxa"/>
            </w:tcMar>
            <w:vAlign w:val="center"/>
          </w:tcPr>
          <w:p w14:paraId="53A11F40" w14:textId="77777777" w:rsidR="00AF6B6A" w:rsidRDefault="00000000">
            <w:pPr>
              <w:keepNext/>
              <w:keepLines/>
              <w:spacing w:after="0" w:line="240" w:lineRule="auto"/>
              <w:jc w:val="right"/>
            </w:pPr>
            <w:r>
              <w:rPr>
                <w:sz w:val="18"/>
              </w:rPr>
              <w:t>140.525,44</w:t>
            </w:r>
          </w:p>
        </w:tc>
        <w:tc>
          <w:tcPr>
            <w:tcW w:w="700" w:type="dxa"/>
            <w:tcMar>
              <w:top w:w="0" w:type="dxa"/>
              <w:bottom w:w="0" w:type="dxa"/>
            </w:tcMar>
            <w:vAlign w:val="center"/>
          </w:tcPr>
          <w:p w14:paraId="6738BAFB" w14:textId="77777777" w:rsidR="00AF6B6A" w:rsidRDefault="00000000">
            <w:pPr>
              <w:keepNext/>
              <w:keepLines/>
              <w:spacing w:after="0" w:line="240" w:lineRule="auto"/>
              <w:jc w:val="right"/>
            </w:pPr>
            <w:r>
              <w:rPr>
                <w:sz w:val="18"/>
              </w:rPr>
              <w:t>13,1</w:t>
            </w:r>
          </w:p>
        </w:tc>
      </w:tr>
    </w:tbl>
    <w:p w14:paraId="2FC5FBE0" w14:textId="77777777" w:rsidR="00AF6B6A" w:rsidRDefault="00AF6B6A">
      <w:pPr>
        <w:spacing w:after="0"/>
      </w:pPr>
    </w:p>
    <w:p w14:paraId="595C8AB4" w14:textId="77777777" w:rsidR="00AF6B6A" w:rsidRDefault="00000000">
      <w:pPr>
        <w:jc w:val="both"/>
      </w:pPr>
      <w:r>
        <w:t>Kapitalne pomoći temeljem prijenosa EU sredstava (6382) ostvarene su u iznosu od 140.525,44 EUR od čega se iznos od 123.064,60 EUR odnosi na sredstva za projekt Izgradnje i opremanje DV Hrašćica.</w:t>
      </w:r>
    </w:p>
    <w:p w14:paraId="4E41FC6C" w14:textId="77777777" w:rsidR="00AF6B6A" w:rsidRDefault="00AF6B6A"/>
    <w:p w14:paraId="547D9DB0" w14:textId="77777777" w:rsidR="00AF6B6A"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5C8F3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175CB3"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4C3139"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09044A"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F667A6"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F2F9D5"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6758DD" w14:textId="77777777" w:rsidR="00AF6B6A" w:rsidRDefault="00000000">
            <w:pPr>
              <w:keepNext/>
              <w:keepLines/>
              <w:spacing w:after="0" w:line="240" w:lineRule="auto"/>
              <w:jc w:val="center"/>
            </w:pPr>
            <w:r>
              <w:rPr>
                <w:b/>
                <w:sz w:val="18"/>
              </w:rPr>
              <w:t>Indeks (%)</w:t>
            </w:r>
          </w:p>
        </w:tc>
      </w:tr>
      <w:tr w:rsidR="00AF6B6A" w14:paraId="3E3F2EFF" w14:textId="77777777">
        <w:tblPrEx>
          <w:tblCellMar>
            <w:top w:w="0" w:type="dxa"/>
            <w:bottom w:w="0" w:type="dxa"/>
          </w:tblCellMar>
        </w:tblPrEx>
        <w:trPr>
          <w:cantSplit/>
          <w:trHeight w:val="560"/>
        </w:trPr>
        <w:tc>
          <w:tcPr>
            <w:tcW w:w="700" w:type="dxa"/>
            <w:tcMar>
              <w:top w:w="0" w:type="dxa"/>
              <w:bottom w:w="0" w:type="dxa"/>
            </w:tcMar>
            <w:vAlign w:val="center"/>
          </w:tcPr>
          <w:p w14:paraId="1923C820" w14:textId="77777777" w:rsidR="00AF6B6A" w:rsidRDefault="00000000">
            <w:pPr>
              <w:keepNext/>
              <w:keepLines/>
              <w:spacing w:after="0" w:line="240" w:lineRule="auto"/>
            </w:pPr>
            <w:r>
              <w:rPr>
                <w:sz w:val="18"/>
              </w:rPr>
              <w:t>64</w:t>
            </w:r>
          </w:p>
        </w:tc>
        <w:tc>
          <w:tcPr>
            <w:tcW w:w="3180" w:type="dxa"/>
            <w:tcMar>
              <w:top w:w="0" w:type="dxa"/>
              <w:bottom w:w="0" w:type="dxa"/>
            </w:tcMar>
            <w:vAlign w:val="center"/>
          </w:tcPr>
          <w:p w14:paraId="0CC141A1" w14:textId="77777777" w:rsidR="00AF6B6A"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6CFF7455" w14:textId="77777777" w:rsidR="00AF6B6A" w:rsidRDefault="00000000">
            <w:pPr>
              <w:keepNext/>
              <w:keepLines/>
              <w:spacing w:after="0" w:line="240" w:lineRule="auto"/>
            </w:pPr>
            <w:r>
              <w:rPr>
                <w:sz w:val="18"/>
              </w:rPr>
              <w:t>64</w:t>
            </w:r>
          </w:p>
        </w:tc>
        <w:tc>
          <w:tcPr>
            <w:tcW w:w="1860" w:type="dxa"/>
            <w:tcMar>
              <w:top w:w="0" w:type="dxa"/>
              <w:bottom w:w="0" w:type="dxa"/>
            </w:tcMar>
            <w:vAlign w:val="center"/>
          </w:tcPr>
          <w:p w14:paraId="1F1EDF96" w14:textId="77777777" w:rsidR="00AF6B6A" w:rsidRDefault="00000000">
            <w:pPr>
              <w:keepNext/>
              <w:keepLines/>
              <w:spacing w:after="0" w:line="240" w:lineRule="auto"/>
              <w:jc w:val="right"/>
            </w:pPr>
            <w:r>
              <w:rPr>
                <w:sz w:val="18"/>
              </w:rPr>
              <w:t>4.482.362,05</w:t>
            </w:r>
          </w:p>
        </w:tc>
        <w:tc>
          <w:tcPr>
            <w:tcW w:w="1860" w:type="dxa"/>
            <w:tcMar>
              <w:top w:w="0" w:type="dxa"/>
              <w:bottom w:w="0" w:type="dxa"/>
            </w:tcMar>
            <w:vAlign w:val="center"/>
          </w:tcPr>
          <w:p w14:paraId="7E7436F5" w14:textId="77777777" w:rsidR="00AF6B6A" w:rsidRDefault="00000000">
            <w:pPr>
              <w:keepNext/>
              <w:keepLines/>
              <w:spacing w:after="0" w:line="240" w:lineRule="auto"/>
              <w:jc w:val="right"/>
            </w:pPr>
            <w:r>
              <w:rPr>
                <w:sz w:val="18"/>
              </w:rPr>
              <w:t>4.313.435,29</w:t>
            </w:r>
          </w:p>
        </w:tc>
        <w:tc>
          <w:tcPr>
            <w:tcW w:w="700" w:type="dxa"/>
            <w:tcMar>
              <w:top w:w="0" w:type="dxa"/>
              <w:bottom w:w="0" w:type="dxa"/>
            </w:tcMar>
            <w:vAlign w:val="center"/>
          </w:tcPr>
          <w:p w14:paraId="4B6D616B" w14:textId="77777777" w:rsidR="00AF6B6A" w:rsidRDefault="00000000">
            <w:pPr>
              <w:keepNext/>
              <w:keepLines/>
              <w:spacing w:after="0" w:line="240" w:lineRule="auto"/>
              <w:jc w:val="right"/>
            </w:pPr>
            <w:r>
              <w:rPr>
                <w:sz w:val="18"/>
              </w:rPr>
              <w:t>96,2</w:t>
            </w:r>
          </w:p>
        </w:tc>
      </w:tr>
    </w:tbl>
    <w:p w14:paraId="18FAC069" w14:textId="77777777" w:rsidR="00AF6B6A" w:rsidRDefault="00AF6B6A">
      <w:pPr>
        <w:spacing w:after="0"/>
      </w:pPr>
    </w:p>
    <w:p w14:paraId="66B43277" w14:textId="77777777" w:rsidR="00AF6B6A" w:rsidRDefault="00000000">
      <w:pPr>
        <w:jc w:val="both"/>
      </w:pPr>
      <w:r>
        <w:t>Prihodi od imovine (64) iznose  4.313.435,29 i  manji su za 3,8 %  nego prošle godine. Sastoje se od  prihoda od financijske imovine (641)  u iznosu 1.041.931,51  EUR (veći  su za 5,1% u odnosu na 2024.)  i  prihoda od nefinancijske imovine (642)  u iznosu od 3.271.503,78  EUR (manji su za 6,3% u odnosu na 2024.).</w:t>
      </w:r>
    </w:p>
    <w:p w14:paraId="2A00F385" w14:textId="77777777" w:rsidR="00AF6B6A" w:rsidRDefault="00AF6B6A"/>
    <w:p w14:paraId="018B0B90" w14:textId="77777777" w:rsidR="00AF6B6A"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43360E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474969"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D82088"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64C91D"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8430DB"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531ACD"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37EAC2" w14:textId="77777777" w:rsidR="00AF6B6A" w:rsidRDefault="00000000">
            <w:pPr>
              <w:keepNext/>
              <w:keepLines/>
              <w:spacing w:after="0" w:line="240" w:lineRule="auto"/>
              <w:jc w:val="center"/>
            </w:pPr>
            <w:r>
              <w:rPr>
                <w:b/>
                <w:sz w:val="18"/>
              </w:rPr>
              <w:t>Indeks (%)</w:t>
            </w:r>
          </w:p>
        </w:tc>
      </w:tr>
      <w:tr w:rsidR="00AF6B6A" w14:paraId="5F1281B4" w14:textId="77777777">
        <w:tblPrEx>
          <w:tblCellMar>
            <w:top w:w="0" w:type="dxa"/>
            <w:bottom w:w="0" w:type="dxa"/>
          </w:tblCellMar>
        </w:tblPrEx>
        <w:trPr>
          <w:cantSplit/>
          <w:trHeight w:val="560"/>
        </w:trPr>
        <w:tc>
          <w:tcPr>
            <w:tcW w:w="700" w:type="dxa"/>
            <w:tcMar>
              <w:top w:w="0" w:type="dxa"/>
              <w:bottom w:w="0" w:type="dxa"/>
            </w:tcMar>
            <w:vAlign w:val="center"/>
          </w:tcPr>
          <w:p w14:paraId="0BE3F30C" w14:textId="77777777" w:rsidR="00AF6B6A" w:rsidRDefault="00000000">
            <w:pPr>
              <w:keepNext/>
              <w:keepLines/>
              <w:spacing w:after="0" w:line="240" w:lineRule="auto"/>
            </w:pPr>
            <w:r>
              <w:rPr>
                <w:sz w:val="18"/>
              </w:rPr>
              <w:t>6414</w:t>
            </w:r>
          </w:p>
        </w:tc>
        <w:tc>
          <w:tcPr>
            <w:tcW w:w="3180" w:type="dxa"/>
            <w:tcMar>
              <w:top w:w="0" w:type="dxa"/>
              <w:bottom w:w="0" w:type="dxa"/>
            </w:tcMar>
            <w:vAlign w:val="center"/>
          </w:tcPr>
          <w:p w14:paraId="42EFDBE4" w14:textId="77777777" w:rsidR="00AF6B6A" w:rsidRDefault="00000000">
            <w:pPr>
              <w:keepNext/>
              <w:keepLines/>
              <w:spacing w:after="0" w:line="240" w:lineRule="auto"/>
            </w:pPr>
            <w:r>
              <w:rPr>
                <w:sz w:val="18"/>
              </w:rPr>
              <w:t>Prihodi od zateznih kamata</w:t>
            </w:r>
          </w:p>
        </w:tc>
        <w:tc>
          <w:tcPr>
            <w:tcW w:w="700" w:type="dxa"/>
            <w:tcMar>
              <w:top w:w="0" w:type="dxa"/>
              <w:bottom w:w="0" w:type="dxa"/>
            </w:tcMar>
            <w:vAlign w:val="center"/>
          </w:tcPr>
          <w:p w14:paraId="06D38D14" w14:textId="77777777" w:rsidR="00AF6B6A" w:rsidRDefault="00000000">
            <w:pPr>
              <w:keepNext/>
              <w:keepLines/>
              <w:spacing w:after="0" w:line="240" w:lineRule="auto"/>
            </w:pPr>
            <w:r>
              <w:rPr>
                <w:sz w:val="18"/>
              </w:rPr>
              <w:t>6414</w:t>
            </w:r>
          </w:p>
        </w:tc>
        <w:tc>
          <w:tcPr>
            <w:tcW w:w="1860" w:type="dxa"/>
            <w:tcMar>
              <w:top w:w="0" w:type="dxa"/>
              <w:bottom w:w="0" w:type="dxa"/>
            </w:tcMar>
            <w:vAlign w:val="center"/>
          </w:tcPr>
          <w:p w14:paraId="7CD7E42C" w14:textId="77777777" w:rsidR="00AF6B6A" w:rsidRDefault="00000000">
            <w:pPr>
              <w:keepNext/>
              <w:keepLines/>
              <w:spacing w:after="0" w:line="240" w:lineRule="auto"/>
              <w:jc w:val="right"/>
            </w:pPr>
            <w:r>
              <w:rPr>
                <w:sz w:val="18"/>
              </w:rPr>
              <w:t>21.575,26</w:t>
            </w:r>
          </w:p>
        </w:tc>
        <w:tc>
          <w:tcPr>
            <w:tcW w:w="1860" w:type="dxa"/>
            <w:tcMar>
              <w:top w:w="0" w:type="dxa"/>
              <w:bottom w:w="0" w:type="dxa"/>
            </w:tcMar>
            <w:vAlign w:val="center"/>
          </w:tcPr>
          <w:p w14:paraId="015956C3" w14:textId="77777777" w:rsidR="00AF6B6A" w:rsidRDefault="00000000">
            <w:pPr>
              <w:keepNext/>
              <w:keepLines/>
              <w:spacing w:after="0" w:line="240" w:lineRule="auto"/>
              <w:jc w:val="right"/>
            </w:pPr>
            <w:r>
              <w:rPr>
                <w:sz w:val="18"/>
              </w:rPr>
              <w:t>21.505,31</w:t>
            </w:r>
          </w:p>
        </w:tc>
        <w:tc>
          <w:tcPr>
            <w:tcW w:w="700" w:type="dxa"/>
            <w:tcMar>
              <w:top w:w="0" w:type="dxa"/>
              <w:bottom w:w="0" w:type="dxa"/>
            </w:tcMar>
            <w:vAlign w:val="center"/>
          </w:tcPr>
          <w:p w14:paraId="5B62242C" w14:textId="77777777" w:rsidR="00AF6B6A" w:rsidRDefault="00000000">
            <w:pPr>
              <w:keepNext/>
              <w:keepLines/>
              <w:spacing w:after="0" w:line="240" w:lineRule="auto"/>
              <w:jc w:val="right"/>
            </w:pPr>
            <w:r>
              <w:rPr>
                <w:sz w:val="18"/>
              </w:rPr>
              <w:t>99,7</w:t>
            </w:r>
          </w:p>
        </w:tc>
      </w:tr>
    </w:tbl>
    <w:p w14:paraId="6406B3E6" w14:textId="77777777" w:rsidR="00AF6B6A" w:rsidRDefault="00AF6B6A">
      <w:pPr>
        <w:spacing w:after="0"/>
      </w:pPr>
    </w:p>
    <w:p w14:paraId="703072C4" w14:textId="77777777" w:rsidR="00AF6B6A" w:rsidRDefault="00000000">
      <w:pPr>
        <w:jc w:val="both"/>
      </w:pPr>
      <w:r>
        <w:t>Prihod od zateznih kamata (6414) iznosi 21.505,31 EUR.</w:t>
      </w:r>
    </w:p>
    <w:p w14:paraId="0DAFBED8" w14:textId="77777777" w:rsidR="00AF6B6A" w:rsidRDefault="00AF6B6A"/>
    <w:p w14:paraId="2A391ED7" w14:textId="77777777" w:rsidR="00AF6B6A"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2A45CE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60E4AF"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3211D2"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E2960F"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A37F17"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4F4D55"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565D4B" w14:textId="77777777" w:rsidR="00AF6B6A" w:rsidRDefault="00000000">
            <w:pPr>
              <w:keepNext/>
              <w:keepLines/>
              <w:spacing w:after="0" w:line="240" w:lineRule="auto"/>
              <w:jc w:val="center"/>
            </w:pPr>
            <w:r>
              <w:rPr>
                <w:b/>
                <w:sz w:val="18"/>
              </w:rPr>
              <w:t>Indeks (%)</w:t>
            </w:r>
          </w:p>
        </w:tc>
      </w:tr>
      <w:tr w:rsidR="00AF6B6A" w14:paraId="4B5D5380" w14:textId="77777777">
        <w:tblPrEx>
          <w:tblCellMar>
            <w:top w:w="0" w:type="dxa"/>
            <w:bottom w:w="0" w:type="dxa"/>
          </w:tblCellMar>
        </w:tblPrEx>
        <w:trPr>
          <w:cantSplit/>
          <w:trHeight w:val="560"/>
        </w:trPr>
        <w:tc>
          <w:tcPr>
            <w:tcW w:w="700" w:type="dxa"/>
            <w:tcMar>
              <w:top w:w="0" w:type="dxa"/>
              <w:bottom w:w="0" w:type="dxa"/>
            </w:tcMar>
            <w:vAlign w:val="center"/>
          </w:tcPr>
          <w:p w14:paraId="5311DBED" w14:textId="77777777" w:rsidR="00AF6B6A" w:rsidRDefault="00000000">
            <w:pPr>
              <w:keepNext/>
              <w:keepLines/>
              <w:spacing w:after="0" w:line="240" w:lineRule="auto"/>
            </w:pPr>
            <w:r>
              <w:rPr>
                <w:sz w:val="18"/>
              </w:rPr>
              <w:t>6416</w:t>
            </w:r>
          </w:p>
        </w:tc>
        <w:tc>
          <w:tcPr>
            <w:tcW w:w="3180" w:type="dxa"/>
            <w:tcMar>
              <w:top w:w="0" w:type="dxa"/>
              <w:bottom w:w="0" w:type="dxa"/>
            </w:tcMar>
            <w:vAlign w:val="center"/>
          </w:tcPr>
          <w:p w14:paraId="6F2EF1BB" w14:textId="77777777" w:rsidR="00AF6B6A" w:rsidRDefault="00000000">
            <w:pPr>
              <w:keepNext/>
              <w:keepLines/>
              <w:spacing w:after="0" w:line="240" w:lineRule="auto"/>
            </w:pPr>
            <w:r>
              <w:rPr>
                <w:sz w:val="18"/>
              </w:rPr>
              <w:t>Prihodi od dividendi</w:t>
            </w:r>
          </w:p>
        </w:tc>
        <w:tc>
          <w:tcPr>
            <w:tcW w:w="700" w:type="dxa"/>
            <w:tcMar>
              <w:top w:w="0" w:type="dxa"/>
              <w:bottom w:w="0" w:type="dxa"/>
            </w:tcMar>
            <w:vAlign w:val="center"/>
          </w:tcPr>
          <w:p w14:paraId="76FC7C94" w14:textId="77777777" w:rsidR="00AF6B6A" w:rsidRDefault="00000000">
            <w:pPr>
              <w:keepNext/>
              <w:keepLines/>
              <w:spacing w:after="0" w:line="240" w:lineRule="auto"/>
            </w:pPr>
            <w:r>
              <w:rPr>
                <w:sz w:val="18"/>
              </w:rPr>
              <w:t>6416</w:t>
            </w:r>
          </w:p>
        </w:tc>
        <w:tc>
          <w:tcPr>
            <w:tcW w:w="1860" w:type="dxa"/>
            <w:tcMar>
              <w:top w:w="0" w:type="dxa"/>
              <w:bottom w:w="0" w:type="dxa"/>
            </w:tcMar>
            <w:vAlign w:val="center"/>
          </w:tcPr>
          <w:p w14:paraId="4F443E77" w14:textId="77777777" w:rsidR="00AF6B6A" w:rsidRDefault="00000000">
            <w:pPr>
              <w:keepNext/>
              <w:keepLines/>
              <w:spacing w:after="0" w:line="240" w:lineRule="auto"/>
              <w:jc w:val="right"/>
            </w:pPr>
            <w:r>
              <w:rPr>
                <w:sz w:val="18"/>
              </w:rPr>
              <w:t>892.640,00</w:t>
            </w:r>
          </w:p>
        </w:tc>
        <w:tc>
          <w:tcPr>
            <w:tcW w:w="1860" w:type="dxa"/>
            <w:tcMar>
              <w:top w:w="0" w:type="dxa"/>
              <w:bottom w:w="0" w:type="dxa"/>
            </w:tcMar>
            <w:vAlign w:val="center"/>
          </w:tcPr>
          <w:p w14:paraId="081D2916" w14:textId="77777777" w:rsidR="00AF6B6A" w:rsidRDefault="00000000">
            <w:pPr>
              <w:keepNext/>
              <w:keepLines/>
              <w:spacing w:after="0" w:line="240" w:lineRule="auto"/>
              <w:jc w:val="right"/>
            </w:pPr>
            <w:r>
              <w:rPr>
                <w:sz w:val="18"/>
              </w:rPr>
              <w:t>1.020.160,00</w:t>
            </w:r>
          </w:p>
        </w:tc>
        <w:tc>
          <w:tcPr>
            <w:tcW w:w="700" w:type="dxa"/>
            <w:tcMar>
              <w:top w:w="0" w:type="dxa"/>
              <w:bottom w:w="0" w:type="dxa"/>
            </w:tcMar>
            <w:vAlign w:val="center"/>
          </w:tcPr>
          <w:p w14:paraId="61BDD9E7" w14:textId="77777777" w:rsidR="00AF6B6A" w:rsidRDefault="00000000">
            <w:pPr>
              <w:keepNext/>
              <w:keepLines/>
              <w:spacing w:after="0" w:line="240" w:lineRule="auto"/>
              <w:jc w:val="right"/>
            </w:pPr>
            <w:r>
              <w:rPr>
                <w:sz w:val="18"/>
              </w:rPr>
              <w:t>114,3</w:t>
            </w:r>
          </w:p>
        </w:tc>
      </w:tr>
    </w:tbl>
    <w:p w14:paraId="56593482" w14:textId="77777777" w:rsidR="00AF6B6A" w:rsidRDefault="00AF6B6A">
      <w:pPr>
        <w:spacing w:after="0"/>
      </w:pPr>
    </w:p>
    <w:p w14:paraId="3740455B" w14:textId="77777777" w:rsidR="00AF6B6A" w:rsidRDefault="00000000">
      <w:pPr>
        <w:jc w:val="both"/>
      </w:pPr>
      <w:r>
        <w:t>Prihod od  dividendi (6416)  odnosi se na prihod od dividende  trgovačkog društva Termoplin d.d. Varaždin u iznosu 1.020.160,00 EUR i veći je za 14,3% u odnosu na prethodnu godinu.</w:t>
      </w:r>
    </w:p>
    <w:p w14:paraId="37B17DA4" w14:textId="77777777" w:rsidR="00AF6B6A" w:rsidRDefault="00AF6B6A"/>
    <w:p w14:paraId="2F2DBE4B" w14:textId="77777777" w:rsidR="00AF6B6A"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4CA647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EA0231"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62B518"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CA2267"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96843D"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5BE231"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0136F5" w14:textId="77777777" w:rsidR="00AF6B6A" w:rsidRDefault="00000000">
            <w:pPr>
              <w:keepNext/>
              <w:keepLines/>
              <w:spacing w:after="0" w:line="240" w:lineRule="auto"/>
              <w:jc w:val="center"/>
            </w:pPr>
            <w:r>
              <w:rPr>
                <w:b/>
                <w:sz w:val="18"/>
              </w:rPr>
              <w:t>Indeks (%)</w:t>
            </w:r>
          </w:p>
        </w:tc>
      </w:tr>
      <w:tr w:rsidR="00AF6B6A" w14:paraId="2989F65E" w14:textId="77777777">
        <w:tblPrEx>
          <w:tblCellMar>
            <w:top w:w="0" w:type="dxa"/>
            <w:bottom w:w="0" w:type="dxa"/>
          </w:tblCellMar>
        </w:tblPrEx>
        <w:trPr>
          <w:cantSplit/>
          <w:trHeight w:val="560"/>
        </w:trPr>
        <w:tc>
          <w:tcPr>
            <w:tcW w:w="700" w:type="dxa"/>
            <w:tcMar>
              <w:top w:w="0" w:type="dxa"/>
              <w:bottom w:w="0" w:type="dxa"/>
            </w:tcMar>
            <w:vAlign w:val="center"/>
          </w:tcPr>
          <w:p w14:paraId="2222DAD2" w14:textId="77777777" w:rsidR="00AF6B6A" w:rsidRDefault="00000000">
            <w:pPr>
              <w:keepNext/>
              <w:keepLines/>
              <w:spacing w:after="0" w:line="240" w:lineRule="auto"/>
            </w:pPr>
            <w:r>
              <w:rPr>
                <w:sz w:val="18"/>
              </w:rPr>
              <w:t>642</w:t>
            </w:r>
          </w:p>
        </w:tc>
        <w:tc>
          <w:tcPr>
            <w:tcW w:w="3180" w:type="dxa"/>
            <w:tcMar>
              <w:top w:w="0" w:type="dxa"/>
              <w:bottom w:w="0" w:type="dxa"/>
            </w:tcMar>
            <w:vAlign w:val="center"/>
          </w:tcPr>
          <w:p w14:paraId="2E315DD7" w14:textId="77777777" w:rsidR="00AF6B6A"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36E9D9BF" w14:textId="77777777" w:rsidR="00AF6B6A" w:rsidRDefault="00000000">
            <w:pPr>
              <w:keepNext/>
              <w:keepLines/>
              <w:spacing w:after="0" w:line="240" w:lineRule="auto"/>
            </w:pPr>
            <w:r>
              <w:rPr>
                <w:sz w:val="18"/>
              </w:rPr>
              <w:t>642</w:t>
            </w:r>
          </w:p>
        </w:tc>
        <w:tc>
          <w:tcPr>
            <w:tcW w:w="1860" w:type="dxa"/>
            <w:tcMar>
              <w:top w:w="0" w:type="dxa"/>
              <w:bottom w:w="0" w:type="dxa"/>
            </w:tcMar>
            <w:vAlign w:val="center"/>
          </w:tcPr>
          <w:p w14:paraId="445349A8" w14:textId="77777777" w:rsidR="00AF6B6A" w:rsidRDefault="00000000">
            <w:pPr>
              <w:keepNext/>
              <w:keepLines/>
              <w:spacing w:after="0" w:line="240" w:lineRule="auto"/>
              <w:jc w:val="right"/>
            </w:pPr>
            <w:r>
              <w:rPr>
                <w:sz w:val="18"/>
              </w:rPr>
              <w:t>3.490.856,07</w:t>
            </w:r>
          </w:p>
        </w:tc>
        <w:tc>
          <w:tcPr>
            <w:tcW w:w="1860" w:type="dxa"/>
            <w:tcMar>
              <w:top w:w="0" w:type="dxa"/>
              <w:bottom w:w="0" w:type="dxa"/>
            </w:tcMar>
            <w:vAlign w:val="center"/>
          </w:tcPr>
          <w:p w14:paraId="4A3D80A1" w14:textId="77777777" w:rsidR="00AF6B6A" w:rsidRDefault="00000000">
            <w:pPr>
              <w:keepNext/>
              <w:keepLines/>
              <w:spacing w:after="0" w:line="240" w:lineRule="auto"/>
              <w:jc w:val="right"/>
            </w:pPr>
            <w:r>
              <w:rPr>
                <w:sz w:val="18"/>
              </w:rPr>
              <w:t>3.271.503,78</w:t>
            </w:r>
          </w:p>
        </w:tc>
        <w:tc>
          <w:tcPr>
            <w:tcW w:w="700" w:type="dxa"/>
            <w:tcMar>
              <w:top w:w="0" w:type="dxa"/>
              <w:bottom w:w="0" w:type="dxa"/>
            </w:tcMar>
            <w:vAlign w:val="center"/>
          </w:tcPr>
          <w:p w14:paraId="347C8F15" w14:textId="77777777" w:rsidR="00AF6B6A" w:rsidRDefault="00000000">
            <w:pPr>
              <w:keepNext/>
              <w:keepLines/>
              <w:spacing w:after="0" w:line="240" w:lineRule="auto"/>
              <w:jc w:val="right"/>
            </w:pPr>
            <w:r>
              <w:rPr>
                <w:sz w:val="18"/>
              </w:rPr>
              <w:t>93,7</w:t>
            </w:r>
          </w:p>
        </w:tc>
      </w:tr>
    </w:tbl>
    <w:p w14:paraId="2CBD308B" w14:textId="77777777" w:rsidR="00AF6B6A" w:rsidRDefault="00AF6B6A">
      <w:pPr>
        <w:spacing w:after="0"/>
      </w:pPr>
    </w:p>
    <w:p w14:paraId="70FC0768" w14:textId="77777777" w:rsidR="00AF6B6A" w:rsidRDefault="00000000">
      <w:pPr>
        <w:jc w:val="both"/>
      </w:pPr>
      <w:r>
        <w:t>Prihodi od nefinancijske imovine (642) iznose 3.271.503,78  EUR što je 6,3% manje u odnosu na 2024. godinu.</w:t>
      </w:r>
    </w:p>
    <w:p w14:paraId="0FB5027E" w14:textId="77777777" w:rsidR="00AF6B6A" w:rsidRDefault="00AF6B6A"/>
    <w:p w14:paraId="2E2D49DB" w14:textId="77777777" w:rsidR="00AF6B6A"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62B3CB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77253C"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DC3DFE"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433941"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F82F62"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3E81FE"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0DBA61" w14:textId="77777777" w:rsidR="00AF6B6A" w:rsidRDefault="00000000">
            <w:pPr>
              <w:keepNext/>
              <w:keepLines/>
              <w:spacing w:after="0" w:line="240" w:lineRule="auto"/>
              <w:jc w:val="center"/>
            </w:pPr>
            <w:r>
              <w:rPr>
                <w:b/>
                <w:sz w:val="18"/>
              </w:rPr>
              <w:t>Indeks (%)</w:t>
            </w:r>
          </w:p>
        </w:tc>
      </w:tr>
      <w:tr w:rsidR="00AF6B6A" w14:paraId="5219DC2E" w14:textId="77777777">
        <w:tblPrEx>
          <w:tblCellMar>
            <w:top w:w="0" w:type="dxa"/>
            <w:bottom w:w="0" w:type="dxa"/>
          </w:tblCellMar>
        </w:tblPrEx>
        <w:trPr>
          <w:cantSplit/>
          <w:trHeight w:val="560"/>
        </w:trPr>
        <w:tc>
          <w:tcPr>
            <w:tcW w:w="700" w:type="dxa"/>
            <w:tcMar>
              <w:top w:w="0" w:type="dxa"/>
              <w:bottom w:w="0" w:type="dxa"/>
            </w:tcMar>
            <w:vAlign w:val="center"/>
          </w:tcPr>
          <w:p w14:paraId="2686FA3C" w14:textId="77777777" w:rsidR="00AF6B6A" w:rsidRDefault="00000000">
            <w:pPr>
              <w:keepNext/>
              <w:keepLines/>
              <w:spacing w:after="0" w:line="240" w:lineRule="auto"/>
            </w:pPr>
            <w:r>
              <w:rPr>
                <w:sz w:val="18"/>
              </w:rPr>
              <w:t>6421</w:t>
            </w:r>
          </w:p>
        </w:tc>
        <w:tc>
          <w:tcPr>
            <w:tcW w:w="3180" w:type="dxa"/>
            <w:tcMar>
              <w:top w:w="0" w:type="dxa"/>
              <w:bottom w:w="0" w:type="dxa"/>
            </w:tcMar>
            <w:vAlign w:val="center"/>
          </w:tcPr>
          <w:p w14:paraId="233A84B3" w14:textId="77777777" w:rsidR="00AF6B6A" w:rsidRDefault="00000000">
            <w:pPr>
              <w:keepNext/>
              <w:keepLines/>
              <w:spacing w:after="0" w:line="240" w:lineRule="auto"/>
            </w:pPr>
            <w:r>
              <w:rPr>
                <w:sz w:val="18"/>
              </w:rPr>
              <w:t>Naknade za koncesije</w:t>
            </w:r>
          </w:p>
        </w:tc>
        <w:tc>
          <w:tcPr>
            <w:tcW w:w="700" w:type="dxa"/>
            <w:tcMar>
              <w:top w:w="0" w:type="dxa"/>
              <w:bottom w:w="0" w:type="dxa"/>
            </w:tcMar>
            <w:vAlign w:val="center"/>
          </w:tcPr>
          <w:p w14:paraId="170183A6" w14:textId="77777777" w:rsidR="00AF6B6A" w:rsidRDefault="00000000">
            <w:pPr>
              <w:keepNext/>
              <w:keepLines/>
              <w:spacing w:after="0" w:line="240" w:lineRule="auto"/>
            </w:pPr>
            <w:r>
              <w:rPr>
                <w:sz w:val="18"/>
              </w:rPr>
              <w:t>6421</w:t>
            </w:r>
          </w:p>
        </w:tc>
        <w:tc>
          <w:tcPr>
            <w:tcW w:w="1860" w:type="dxa"/>
            <w:tcMar>
              <w:top w:w="0" w:type="dxa"/>
              <w:bottom w:w="0" w:type="dxa"/>
            </w:tcMar>
            <w:vAlign w:val="center"/>
          </w:tcPr>
          <w:p w14:paraId="302428C2" w14:textId="77777777" w:rsidR="00AF6B6A" w:rsidRDefault="00000000">
            <w:pPr>
              <w:keepNext/>
              <w:keepLines/>
              <w:spacing w:after="0" w:line="240" w:lineRule="auto"/>
              <w:jc w:val="right"/>
            </w:pPr>
            <w:r>
              <w:rPr>
                <w:sz w:val="18"/>
              </w:rPr>
              <w:t>45.059,38</w:t>
            </w:r>
          </w:p>
        </w:tc>
        <w:tc>
          <w:tcPr>
            <w:tcW w:w="1860" w:type="dxa"/>
            <w:tcMar>
              <w:top w:w="0" w:type="dxa"/>
              <w:bottom w:w="0" w:type="dxa"/>
            </w:tcMar>
            <w:vAlign w:val="center"/>
          </w:tcPr>
          <w:p w14:paraId="763C6FD1" w14:textId="77777777" w:rsidR="00AF6B6A" w:rsidRDefault="00000000">
            <w:pPr>
              <w:keepNext/>
              <w:keepLines/>
              <w:spacing w:after="0" w:line="240" w:lineRule="auto"/>
              <w:jc w:val="right"/>
            </w:pPr>
            <w:r>
              <w:rPr>
                <w:sz w:val="18"/>
              </w:rPr>
              <w:t>45.059,38</w:t>
            </w:r>
          </w:p>
        </w:tc>
        <w:tc>
          <w:tcPr>
            <w:tcW w:w="700" w:type="dxa"/>
            <w:tcMar>
              <w:top w:w="0" w:type="dxa"/>
              <w:bottom w:w="0" w:type="dxa"/>
            </w:tcMar>
            <w:vAlign w:val="center"/>
          </w:tcPr>
          <w:p w14:paraId="079AA0DC" w14:textId="77777777" w:rsidR="00AF6B6A" w:rsidRDefault="00000000">
            <w:pPr>
              <w:keepNext/>
              <w:keepLines/>
              <w:spacing w:after="0" w:line="240" w:lineRule="auto"/>
              <w:jc w:val="right"/>
            </w:pPr>
            <w:r>
              <w:rPr>
                <w:sz w:val="18"/>
              </w:rPr>
              <w:t>100</w:t>
            </w:r>
          </w:p>
        </w:tc>
      </w:tr>
    </w:tbl>
    <w:p w14:paraId="4520BCC2" w14:textId="77777777" w:rsidR="00AF6B6A" w:rsidRDefault="00AF6B6A">
      <w:pPr>
        <w:spacing w:after="0"/>
      </w:pPr>
    </w:p>
    <w:p w14:paraId="13F63579" w14:textId="77777777" w:rsidR="00AF6B6A" w:rsidRDefault="00000000">
      <w:pPr>
        <w:jc w:val="both"/>
      </w:pPr>
      <w:r>
        <w:t>Naknade za koncesije (6421) ostvarene su u iznosu 45.059,38 EUR.</w:t>
      </w:r>
    </w:p>
    <w:p w14:paraId="676E1203" w14:textId="77777777" w:rsidR="00AF6B6A" w:rsidRDefault="00AF6B6A"/>
    <w:p w14:paraId="04B5D9A1" w14:textId="77777777" w:rsidR="00AF6B6A"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7D6292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6AB57A"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C0E7CE"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89A58C"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A0D24A"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B01FF8"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76B0D" w14:textId="77777777" w:rsidR="00AF6B6A" w:rsidRDefault="00000000">
            <w:pPr>
              <w:keepNext/>
              <w:keepLines/>
              <w:spacing w:after="0" w:line="240" w:lineRule="auto"/>
              <w:jc w:val="center"/>
            </w:pPr>
            <w:r>
              <w:rPr>
                <w:b/>
                <w:sz w:val="18"/>
              </w:rPr>
              <w:t>Indeks (%)</w:t>
            </w:r>
          </w:p>
        </w:tc>
      </w:tr>
      <w:tr w:rsidR="00AF6B6A" w14:paraId="60CBAB6A" w14:textId="77777777">
        <w:tblPrEx>
          <w:tblCellMar>
            <w:top w:w="0" w:type="dxa"/>
            <w:bottom w:w="0" w:type="dxa"/>
          </w:tblCellMar>
        </w:tblPrEx>
        <w:trPr>
          <w:cantSplit/>
          <w:trHeight w:val="560"/>
        </w:trPr>
        <w:tc>
          <w:tcPr>
            <w:tcW w:w="700" w:type="dxa"/>
            <w:tcMar>
              <w:top w:w="0" w:type="dxa"/>
              <w:bottom w:w="0" w:type="dxa"/>
            </w:tcMar>
            <w:vAlign w:val="center"/>
          </w:tcPr>
          <w:p w14:paraId="4990F0B3" w14:textId="77777777" w:rsidR="00AF6B6A" w:rsidRDefault="00000000">
            <w:pPr>
              <w:keepNext/>
              <w:keepLines/>
              <w:spacing w:after="0" w:line="240" w:lineRule="auto"/>
            </w:pPr>
            <w:r>
              <w:rPr>
                <w:sz w:val="18"/>
              </w:rPr>
              <w:t>6422</w:t>
            </w:r>
          </w:p>
        </w:tc>
        <w:tc>
          <w:tcPr>
            <w:tcW w:w="3180" w:type="dxa"/>
            <w:tcMar>
              <w:top w:w="0" w:type="dxa"/>
              <w:bottom w:w="0" w:type="dxa"/>
            </w:tcMar>
            <w:vAlign w:val="center"/>
          </w:tcPr>
          <w:p w14:paraId="586ECD6E" w14:textId="77777777" w:rsidR="00AF6B6A" w:rsidRDefault="00000000">
            <w:pPr>
              <w:keepNext/>
              <w:keepLines/>
              <w:spacing w:after="0" w:line="240" w:lineRule="auto"/>
            </w:pPr>
            <w:r>
              <w:rPr>
                <w:sz w:val="18"/>
              </w:rPr>
              <w:t>Prihodi od zakupa i iznajmljivanja imovine</w:t>
            </w:r>
          </w:p>
        </w:tc>
        <w:tc>
          <w:tcPr>
            <w:tcW w:w="700" w:type="dxa"/>
            <w:tcMar>
              <w:top w:w="0" w:type="dxa"/>
              <w:bottom w:w="0" w:type="dxa"/>
            </w:tcMar>
            <w:vAlign w:val="center"/>
          </w:tcPr>
          <w:p w14:paraId="2DCBDCF6" w14:textId="77777777" w:rsidR="00AF6B6A" w:rsidRDefault="00000000">
            <w:pPr>
              <w:keepNext/>
              <w:keepLines/>
              <w:spacing w:after="0" w:line="240" w:lineRule="auto"/>
            </w:pPr>
            <w:r>
              <w:rPr>
                <w:sz w:val="18"/>
              </w:rPr>
              <w:t>6422</w:t>
            </w:r>
          </w:p>
        </w:tc>
        <w:tc>
          <w:tcPr>
            <w:tcW w:w="1860" w:type="dxa"/>
            <w:tcMar>
              <w:top w:w="0" w:type="dxa"/>
              <w:bottom w:w="0" w:type="dxa"/>
            </w:tcMar>
            <w:vAlign w:val="center"/>
          </w:tcPr>
          <w:p w14:paraId="00E8A7B5" w14:textId="77777777" w:rsidR="00AF6B6A" w:rsidRDefault="00000000">
            <w:pPr>
              <w:keepNext/>
              <w:keepLines/>
              <w:spacing w:after="0" w:line="240" w:lineRule="auto"/>
              <w:jc w:val="right"/>
            </w:pPr>
            <w:r>
              <w:rPr>
                <w:sz w:val="18"/>
              </w:rPr>
              <w:t>2.895.228,58</w:t>
            </w:r>
          </w:p>
        </w:tc>
        <w:tc>
          <w:tcPr>
            <w:tcW w:w="1860" w:type="dxa"/>
            <w:tcMar>
              <w:top w:w="0" w:type="dxa"/>
              <w:bottom w:w="0" w:type="dxa"/>
            </w:tcMar>
            <w:vAlign w:val="center"/>
          </w:tcPr>
          <w:p w14:paraId="7876722A" w14:textId="77777777" w:rsidR="00AF6B6A" w:rsidRDefault="00000000">
            <w:pPr>
              <w:keepNext/>
              <w:keepLines/>
              <w:spacing w:after="0" w:line="240" w:lineRule="auto"/>
              <w:jc w:val="right"/>
            </w:pPr>
            <w:r>
              <w:rPr>
                <w:sz w:val="18"/>
              </w:rPr>
              <w:t>2.849.443,56</w:t>
            </w:r>
          </w:p>
        </w:tc>
        <w:tc>
          <w:tcPr>
            <w:tcW w:w="700" w:type="dxa"/>
            <w:tcMar>
              <w:top w:w="0" w:type="dxa"/>
              <w:bottom w:w="0" w:type="dxa"/>
            </w:tcMar>
            <w:vAlign w:val="center"/>
          </w:tcPr>
          <w:p w14:paraId="7306A3ED" w14:textId="77777777" w:rsidR="00AF6B6A" w:rsidRDefault="00000000">
            <w:pPr>
              <w:keepNext/>
              <w:keepLines/>
              <w:spacing w:after="0" w:line="240" w:lineRule="auto"/>
              <w:jc w:val="right"/>
            </w:pPr>
            <w:r>
              <w:rPr>
                <w:sz w:val="18"/>
              </w:rPr>
              <w:t>98,4</w:t>
            </w:r>
          </w:p>
        </w:tc>
      </w:tr>
    </w:tbl>
    <w:p w14:paraId="007BE624" w14:textId="77777777" w:rsidR="00AF6B6A" w:rsidRDefault="00AF6B6A">
      <w:pPr>
        <w:spacing w:after="0"/>
      </w:pPr>
    </w:p>
    <w:p w14:paraId="2C38A462" w14:textId="77777777" w:rsidR="00AF6B6A" w:rsidRDefault="00000000">
      <w:pPr>
        <w:jc w:val="both"/>
      </w:pPr>
      <w:r>
        <w:t>Prihodi od zakupa i iznajmljivanja (6422) iznose 2.849.443,56 EUR i manji su za 1,6% u odnosu na 2024. godinu.</w:t>
      </w:r>
    </w:p>
    <w:p w14:paraId="14070B03" w14:textId="77777777" w:rsidR="00AF6B6A" w:rsidRDefault="00000000">
      <w:pPr>
        <w:jc w:val="both"/>
      </w:pPr>
      <w:r>
        <w:t>Prihodi od zakupa poljoprivrednog zemljišta ostvareni su  u  iznosu od  21.000,10 EUR, Zakup poslovnih prostora ostvaren je u iznosu 210.983,73 EUR, ostali prihodi od iznajmljivanja imovine iznose 438.228,54 EUR te najznačajniji prihod od zakupa i iznajmljivanja koji se odnosi na prihod iz državnog proračuna za obveze koje proizlaze iz Sporazuma o zajedničkom sufinanciranju najamnine za gradsku sportsku dvoranu na Dravi ostvaren u iznosu od 2.179.231,19 EUR.</w:t>
      </w:r>
    </w:p>
    <w:p w14:paraId="6D3E3509" w14:textId="77777777" w:rsidR="00AF6B6A" w:rsidRDefault="00AF6B6A"/>
    <w:p w14:paraId="068592A5" w14:textId="77777777" w:rsidR="00AF6B6A"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FCA3A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578341"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53411C"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F5A99C"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78A8BB"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EDC65B"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DF6248" w14:textId="77777777" w:rsidR="00AF6B6A" w:rsidRDefault="00000000">
            <w:pPr>
              <w:keepNext/>
              <w:keepLines/>
              <w:spacing w:after="0" w:line="240" w:lineRule="auto"/>
              <w:jc w:val="center"/>
            </w:pPr>
            <w:r>
              <w:rPr>
                <w:b/>
                <w:sz w:val="18"/>
              </w:rPr>
              <w:t>Indeks (%)</w:t>
            </w:r>
          </w:p>
        </w:tc>
      </w:tr>
      <w:tr w:rsidR="00AF6B6A" w14:paraId="25F9D453" w14:textId="77777777">
        <w:tblPrEx>
          <w:tblCellMar>
            <w:top w:w="0" w:type="dxa"/>
            <w:bottom w:w="0" w:type="dxa"/>
          </w:tblCellMar>
        </w:tblPrEx>
        <w:trPr>
          <w:cantSplit/>
          <w:trHeight w:val="560"/>
        </w:trPr>
        <w:tc>
          <w:tcPr>
            <w:tcW w:w="700" w:type="dxa"/>
            <w:tcMar>
              <w:top w:w="0" w:type="dxa"/>
              <w:bottom w:w="0" w:type="dxa"/>
            </w:tcMar>
            <w:vAlign w:val="center"/>
          </w:tcPr>
          <w:p w14:paraId="5C23B808" w14:textId="77777777" w:rsidR="00AF6B6A" w:rsidRDefault="00000000">
            <w:pPr>
              <w:keepNext/>
              <w:keepLines/>
              <w:spacing w:after="0" w:line="240" w:lineRule="auto"/>
            </w:pPr>
            <w:r>
              <w:rPr>
                <w:sz w:val="18"/>
              </w:rPr>
              <w:t>6423</w:t>
            </w:r>
          </w:p>
        </w:tc>
        <w:tc>
          <w:tcPr>
            <w:tcW w:w="3180" w:type="dxa"/>
            <w:tcMar>
              <w:top w:w="0" w:type="dxa"/>
              <w:bottom w:w="0" w:type="dxa"/>
            </w:tcMar>
            <w:vAlign w:val="center"/>
          </w:tcPr>
          <w:p w14:paraId="6157FAC6" w14:textId="77777777" w:rsidR="00AF6B6A" w:rsidRDefault="00000000">
            <w:pPr>
              <w:keepNext/>
              <w:keepLines/>
              <w:spacing w:after="0" w:line="240" w:lineRule="auto"/>
            </w:pPr>
            <w:r>
              <w:rPr>
                <w:sz w:val="18"/>
              </w:rPr>
              <w:t>Naknada za korištenje nefinancijske imovine</w:t>
            </w:r>
          </w:p>
        </w:tc>
        <w:tc>
          <w:tcPr>
            <w:tcW w:w="700" w:type="dxa"/>
            <w:tcMar>
              <w:top w:w="0" w:type="dxa"/>
              <w:bottom w:w="0" w:type="dxa"/>
            </w:tcMar>
            <w:vAlign w:val="center"/>
          </w:tcPr>
          <w:p w14:paraId="073C5F0A" w14:textId="77777777" w:rsidR="00AF6B6A" w:rsidRDefault="00000000">
            <w:pPr>
              <w:keepNext/>
              <w:keepLines/>
              <w:spacing w:after="0" w:line="240" w:lineRule="auto"/>
            </w:pPr>
            <w:r>
              <w:rPr>
                <w:sz w:val="18"/>
              </w:rPr>
              <w:t>6423</w:t>
            </w:r>
          </w:p>
        </w:tc>
        <w:tc>
          <w:tcPr>
            <w:tcW w:w="1860" w:type="dxa"/>
            <w:tcMar>
              <w:top w:w="0" w:type="dxa"/>
              <w:bottom w:w="0" w:type="dxa"/>
            </w:tcMar>
            <w:vAlign w:val="center"/>
          </w:tcPr>
          <w:p w14:paraId="3216C5B2" w14:textId="77777777" w:rsidR="00AF6B6A" w:rsidRDefault="00000000">
            <w:pPr>
              <w:keepNext/>
              <w:keepLines/>
              <w:spacing w:after="0" w:line="240" w:lineRule="auto"/>
              <w:jc w:val="right"/>
            </w:pPr>
            <w:r>
              <w:rPr>
                <w:sz w:val="18"/>
              </w:rPr>
              <w:t>546.532,93</w:t>
            </w:r>
          </w:p>
        </w:tc>
        <w:tc>
          <w:tcPr>
            <w:tcW w:w="1860" w:type="dxa"/>
            <w:tcMar>
              <w:top w:w="0" w:type="dxa"/>
              <w:bottom w:w="0" w:type="dxa"/>
            </w:tcMar>
            <w:vAlign w:val="center"/>
          </w:tcPr>
          <w:p w14:paraId="2EAB06F2" w14:textId="77777777" w:rsidR="00AF6B6A" w:rsidRDefault="00000000">
            <w:pPr>
              <w:keepNext/>
              <w:keepLines/>
              <w:spacing w:after="0" w:line="240" w:lineRule="auto"/>
              <w:jc w:val="right"/>
            </w:pPr>
            <w:r>
              <w:rPr>
                <w:sz w:val="18"/>
              </w:rPr>
              <w:t>372.864,56</w:t>
            </w:r>
          </w:p>
        </w:tc>
        <w:tc>
          <w:tcPr>
            <w:tcW w:w="700" w:type="dxa"/>
            <w:tcMar>
              <w:top w:w="0" w:type="dxa"/>
              <w:bottom w:w="0" w:type="dxa"/>
            </w:tcMar>
            <w:vAlign w:val="center"/>
          </w:tcPr>
          <w:p w14:paraId="72363E1D" w14:textId="77777777" w:rsidR="00AF6B6A" w:rsidRDefault="00000000">
            <w:pPr>
              <w:keepNext/>
              <w:keepLines/>
              <w:spacing w:after="0" w:line="240" w:lineRule="auto"/>
              <w:jc w:val="right"/>
            </w:pPr>
            <w:r>
              <w:rPr>
                <w:sz w:val="18"/>
              </w:rPr>
              <w:t>68,2</w:t>
            </w:r>
          </w:p>
        </w:tc>
      </w:tr>
    </w:tbl>
    <w:p w14:paraId="7C533C4E" w14:textId="77777777" w:rsidR="00AF6B6A" w:rsidRDefault="00AF6B6A">
      <w:pPr>
        <w:spacing w:after="0"/>
      </w:pPr>
    </w:p>
    <w:p w14:paraId="203D7978" w14:textId="77777777" w:rsidR="00AF6B6A" w:rsidRDefault="00000000">
      <w:pPr>
        <w:jc w:val="both"/>
      </w:pPr>
      <w:r>
        <w:lastRenderedPageBreak/>
        <w:t>Naknada za korištenje nefinancijske imovine (6423) ostvarene su u iznosu od 372.864,56 EUR ili 31,8 % manje u odnosu prema prošloj godini.</w:t>
      </w:r>
    </w:p>
    <w:p w14:paraId="7169B141" w14:textId="77777777" w:rsidR="00AF6B6A" w:rsidRDefault="00AF6B6A"/>
    <w:p w14:paraId="7EC20172" w14:textId="77777777" w:rsidR="00AF6B6A"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24870A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BE75E9"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BE6374"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FA4410"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11FB72"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E811E4"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032AA0" w14:textId="77777777" w:rsidR="00AF6B6A" w:rsidRDefault="00000000">
            <w:pPr>
              <w:keepNext/>
              <w:keepLines/>
              <w:spacing w:after="0" w:line="240" w:lineRule="auto"/>
              <w:jc w:val="center"/>
            </w:pPr>
            <w:r>
              <w:rPr>
                <w:b/>
                <w:sz w:val="18"/>
              </w:rPr>
              <w:t>Indeks (%)</w:t>
            </w:r>
          </w:p>
        </w:tc>
      </w:tr>
      <w:tr w:rsidR="00AF6B6A" w14:paraId="068D96B7" w14:textId="77777777">
        <w:tblPrEx>
          <w:tblCellMar>
            <w:top w:w="0" w:type="dxa"/>
            <w:bottom w:w="0" w:type="dxa"/>
          </w:tblCellMar>
        </w:tblPrEx>
        <w:trPr>
          <w:cantSplit/>
          <w:trHeight w:val="560"/>
        </w:trPr>
        <w:tc>
          <w:tcPr>
            <w:tcW w:w="700" w:type="dxa"/>
            <w:tcMar>
              <w:top w:w="0" w:type="dxa"/>
              <w:bottom w:w="0" w:type="dxa"/>
            </w:tcMar>
            <w:vAlign w:val="center"/>
          </w:tcPr>
          <w:p w14:paraId="6BBBE969" w14:textId="77777777" w:rsidR="00AF6B6A" w:rsidRDefault="00000000">
            <w:pPr>
              <w:keepNext/>
              <w:keepLines/>
              <w:spacing w:after="0" w:line="240" w:lineRule="auto"/>
            </w:pPr>
            <w:r>
              <w:rPr>
                <w:sz w:val="18"/>
              </w:rPr>
              <w:t>65</w:t>
            </w:r>
          </w:p>
        </w:tc>
        <w:tc>
          <w:tcPr>
            <w:tcW w:w="3180" w:type="dxa"/>
            <w:tcMar>
              <w:top w:w="0" w:type="dxa"/>
              <w:bottom w:w="0" w:type="dxa"/>
            </w:tcMar>
            <w:vAlign w:val="center"/>
          </w:tcPr>
          <w:p w14:paraId="22F658E2" w14:textId="77777777" w:rsidR="00AF6B6A"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5FBC93C4" w14:textId="77777777" w:rsidR="00AF6B6A" w:rsidRDefault="00000000">
            <w:pPr>
              <w:keepNext/>
              <w:keepLines/>
              <w:spacing w:after="0" w:line="240" w:lineRule="auto"/>
            </w:pPr>
            <w:r>
              <w:rPr>
                <w:sz w:val="18"/>
              </w:rPr>
              <w:t>65</w:t>
            </w:r>
          </w:p>
        </w:tc>
        <w:tc>
          <w:tcPr>
            <w:tcW w:w="1860" w:type="dxa"/>
            <w:tcMar>
              <w:top w:w="0" w:type="dxa"/>
              <w:bottom w:w="0" w:type="dxa"/>
            </w:tcMar>
            <w:vAlign w:val="center"/>
          </w:tcPr>
          <w:p w14:paraId="607DB2D9" w14:textId="77777777" w:rsidR="00AF6B6A" w:rsidRDefault="00000000">
            <w:pPr>
              <w:keepNext/>
              <w:keepLines/>
              <w:spacing w:after="0" w:line="240" w:lineRule="auto"/>
              <w:jc w:val="right"/>
            </w:pPr>
            <w:r>
              <w:rPr>
                <w:sz w:val="18"/>
              </w:rPr>
              <w:t>7.649.150,68</w:t>
            </w:r>
          </w:p>
        </w:tc>
        <w:tc>
          <w:tcPr>
            <w:tcW w:w="1860" w:type="dxa"/>
            <w:tcMar>
              <w:top w:w="0" w:type="dxa"/>
              <w:bottom w:w="0" w:type="dxa"/>
            </w:tcMar>
            <w:vAlign w:val="center"/>
          </w:tcPr>
          <w:p w14:paraId="51431735" w14:textId="77777777" w:rsidR="00AF6B6A" w:rsidRDefault="00000000">
            <w:pPr>
              <w:keepNext/>
              <w:keepLines/>
              <w:spacing w:after="0" w:line="240" w:lineRule="auto"/>
              <w:jc w:val="right"/>
            </w:pPr>
            <w:r>
              <w:rPr>
                <w:sz w:val="18"/>
              </w:rPr>
              <w:t>8.637.151,46</w:t>
            </w:r>
          </w:p>
        </w:tc>
        <w:tc>
          <w:tcPr>
            <w:tcW w:w="700" w:type="dxa"/>
            <w:tcMar>
              <w:top w:w="0" w:type="dxa"/>
              <w:bottom w:w="0" w:type="dxa"/>
            </w:tcMar>
            <w:vAlign w:val="center"/>
          </w:tcPr>
          <w:p w14:paraId="15DE2712" w14:textId="77777777" w:rsidR="00AF6B6A" w:rsidRDefault="00000000">
            <w:pPr>
              <w:keepNext/>
              <w:keepLines/>
              <w:spacing w:after="0" w:line="240" w:lineRule="auto"/>
              <w:jc w:val="right"/>
            </w:pPr>
            <w:r>
              <w:rPr>
                <w:sz w:val="18"/>
              </w:rPr>
              <w:t>112,9</w:t>
            </w:r>
          </w:p>
        </w:tc>
      </w:tr>
    </w:tbl>
    <w:p w14:paraId="00DB8E4D" w14:textId="77777777" w:rsidR="00AF6B6A" w:rsidRDefault="00AF6B6A">
      <w:pPr>
        <w:spacing w:after="0"/>
      </w:pPr>
    </w:p>
    <w:p w14:paraId="01EECCB5" w14:textId="77777777" w:rsidR="00AF6B6A" w:rsidRDefault="00000000">
      <w:pPr>
        <w:jc w:val="both"/>
      </w:pPr>
      <w:r>
        <w:t>Prihodi od upravnih administrativnih pristojbi i pristojbi po posebnim propisima i naknadama (65) u izvještajnoj godini ostvareni su u iznosu od 8.637.151,46 EUR  što je  12,92% više u odnosu na 2024. godinu.</w:t>
      </w:r>
    </w:p>
    <w:p w14:paraId="41300017" w14:textId="77777777" w:rsidR="00AF6B6A" w:rsidRDefault="00000000">
      <w:pPr>
        <w:jc w:val="both"/>
      </w:pPr>
      <w:r>
        <w:t>U strukturi ovih prihoda sadržani su prihodi od upravnih pristojbi, prihodi po posebnim propisima, komunalni doprinosi i naknade.</w:t>
      </w:r>
    </w:p>
    <w:p w14:paraId="69804A81" w14:textId="77777777" w:rsidR="00AF6B6A" w:rsidRDefault="00AF6B6A"/>
    <w:p w14:paraId="79B727C7" w14:textId="77777777" w:rsidR="00AF6B6A"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648D8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7DF33C"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E8F4AD"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FF6D4F"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116616"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863388"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73C491" w14:textId="77777777" w:rsidR="00AF6B6A" w:rsidRDefault="00000000">
            <w:pPr>
              <w:keepNext/>
              <w:keepLines/>
              <w:spacing w:after="0" w:line="240" w:lineRule="auto"/>
              <w:jc w:val="center"/>
            </w:pPr>
            <w:r>
              <w:rPr>
                <w:b/>
                <w:sz w:val="18"/>
              </w:rPr>
              <w:t>Indeks (%)</w:t>
            </w:r>
          </w:p>
        </w:tc>
      </w:tr>
      <w:tr w:rsidR="00AF6B6A" w14:paraId="08E3E9C8" w14:textId="77777777">
        <w:tblPrEx>
          <w:tblCellMar>
            <w:top w:w="0" w:type="dxa"/>
            <w:bottom w:w="0" w:type="dxa"/>
          </w:tblCellMar>
        </w:tblPrEx>
        <w:trPr>
          <w:cantSplit/>
          <w:trHeight w:val="560"/>
        </w:trPr>
        <w:tc>
          <w:tcPr>
            <w:tcW w:w="700" w:type="dxa"/>
            <w:tcMar>
              <w:top w:w="0" w:type="dxa"/>
              <w:bottom w:w="0" w:type="dxa"/>
            </w:tcMar>
            <w:vAlign w:val="center"/>
          </w:tcPr>
          <w:p w14:paraId="43A865F3" w14:textId="77777777" w:rsidR="00AF6B6A" w:rsidRDefault="00000000">
            <w:pPr>
              <w:keepNext/>
              <w:keepLines/>
              <w:spacing w:after="0" w:line="240" w:lineRule="auto"/>
            </w:pPr>
            <w:r>
              <w:rPr>
                <w:sz w:val="18"/>
              </w:rPr>
              <w:t>651</w:t>
            </w:r>
          </w:p>
        </w:tc>
        <w:tc>
          <w:tcPr>
            <w:tcW w:w="3180" w:type="dxa"/>
            <w:tcMar>
              <w:top w:w="0" w:type="dxa"/>
              <w:bottom w:w="0" w:type="dxa"/>
            </w:tcMar>
            <w:vAlign w:val="center"/>
          </w:tcPr>
          <w:p w14:paraId="2E5BF51E" w14:textId="77777777" w:rsidR="00AF6B6A" w:rsidRDefault="00000000">
            <w:pPr>
              <w:keepNext/>
              <w:keepLines/>
              <w:spacing w:after="0" w:line="240" w:lineRule="auto"/>
            </w:pPr>
            <w:r>
              <w:rPr>
                <w:sz w:val="18"/>
              </w:rPr>
              <w:t>Upravne i administrativne pristojbe (šifre 6511 do 6514)</w:t>
            </w:r>
          </w:p>
        </w:tc>
        <w:tc>
          <w:tcPr>
            <w:tcW w:w="700" w:type="dxa"/>
            <w:tcMar>
              <w:top w:w="0" w:type="dxa"/>
              <w:bottom w:w="0" w:type="dxa"/>
            </w:tcMar>
            <w:vAlign w:val="center"/>
          </w:tcPr>
          <w:p w14:paraId="18D75193" w14:textId="77777777" w:rsidR="00AF6B6A" w:rsidRDefault="00000000">
            <w:pPr>
              <w:keepNext/>
              <w:keepLines/>
              <w:spacing w:after="0" w:line="240" w:lineRule="auto"/>
            </w:pPr>
            <w:r>
              <w:rPr>
                <w:sz w:val="18"/>
              </w:rPr>
              <w:t>651</w:t>
            </w:r>
          </w:p>
        </w:tc>
        <w:tc>
          <w:tcPr>
            <w:tcW w:w="1860" w:type="dxa"/>
            <w:tcMar>
              <w:top w:w="0" w:type="dxa"/>
              <w:bottom w:w="0" w:type="dxa"/>
            </w:tcMar>
            <w:vAlign w:val="center"/>
          </w:tcPr>
          <w:p w14:paraId="1761276E" w14:textId="77777777" w:rsidR="00AF6B6A" w:rsidRDefault="00000000">
            <w:pPr>
              <w:keepNext/>
              <w:keepLines/>
              <w:spacing w:after="0" w:line="240" w:lineRule="auto"/>
              <w:jc w:val="right"/>
            </w:pPr>
            <w:r>
              <w:rPr>
                <w:sz w:val="18"/>
              </w:rPr>
              <w:t>167.771,26</w:t>
            </w:r>
          </w:p>
        </w:tc>
        <w:tc>
          <w:tcPr>
            <w:tcW w:w="1860" w:type="dxa"/>
            <w:tcMar>
              <w:top w:w="0" w:type="dxa"/>
              <w:bottom w:w="0" w:type="dxa"/>
            </w:tcMar>
            <w:vAlign w:val="center"/>
          </w:tcPr>
          <w:p w14:paraId="05327531" w14:textId="77777777" w:rsidR="00AF6B6A" w:rsidRDefault="00000000">
            <w:pPr>
              <w:keepNext/>
              <w:keepLines/>
              <w:spacing w:after="0" w:line="240" w:lineRule="auto"/>
              <w:jc w:val="right"/>
            </w:pPr>
            <w:r>
              <w:rPr>
                <w:sz w:val="18"/>
              </w:rPr>
              <w:t>169.885,46</w:t>
            </w:r>
          </w:p>
        </w:tc>
        <w:tc>
          <w:tcPr>
            <w:tcW w:w="700" w:type="dxa"/>
            <w:tcMar>
              <w:top w:w="0" w:type="dxa"/>
              <w:bottom w:w="0" w:type="dxa"/>
            </w:tcMar>
            <w:vAlign w:val="center"/>
          </w:tcPr>
          <w:p w14:paraId="7BC67E30" w14:textId="77777777" w:rsidR="00AF6B6A" w:rsidRDefault="00000000">
            <w:pPr>
              <w:keepNext/>
              <w:keepLines/>
              <w:spacing w:after="0" w:line="240" w:lineRule="auto"/>
              <w:jc w:val="right"/>
            </w:pPr>
            <w:r>
              <w:rPr>
                <w:sz w:val="18"/>
              </w:rPr>
              <w:t>101,3</w:t>
            </w:r>
          </w:p>
        </w:tc>
      </w:tr>
    </w:tbl>
    <w:p w14:paraId="2A8C5854" w14:textId="77777777" w:rsidR="00AF6B6A" w:rsidRDefault="00AF6B6A">
      <w:pPr>
        <w:spacing w:after="0"/>
      </w:pPr>
    </w:p>
    <w:p w14:paraId="65254A9B" w14:textId="77777777" w:rsidR="00AF6B6A" w:rsidRDefault="00000000">
      <w:pPr>
        <w:jc w:val="both"/>
      </w:pPr>
      <w:r>
        <w:t>Upravne i administrativne pristojbe (651) ostvarene su u iznosu 169.885,46 EUR.  </w:t>
      </w:r>
    </w:p>
    <w:p w14:paraId="62AC1012" w14:textId="77777777" w:rsidR="00AF6B6A" w:rsidRDefault="00AF6B6A"/>
    <w:p w14:paraId="7DF174BA" w14:textId="77777777" w:rsidR="00AF6B6A"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770B7B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17FCE1"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4D2093"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E78344"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A395B4"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B2F79B"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D1A74A" w14:textId="77777777" w:rsidR="00AF6B6A" w:rsidRDefault="00000000">
            <w:pPr>
              <w:keepNext/>
              <w:keepLines/>
              <w:spacing w:after="0" w:line="240" w:lineRule="auto"/>
              <w:jc w:val="center"/>
            </w:pPr>
            <w:r>
              <w:rPr>
                <w:b/>
                <w:sz w:val="18"/>
              </w:rPr>
              <w:t>Indeks (%)</w:t>
            </w:r>
          </w:p>
        </w:tc>
      </w:tr>
      <w:tr w:rsidR="00AF6B6A" w14:paraId="0354D1DD" w14:textId="77777777">
        <w:tblPrEx>
          <w:tblCellMar>
            <w:top w:w="0" w:type="dxa"/>
            <w:bottom w:w="0" w:type="dxa"/>
          </w:tblCellMar>
        </w:tblPrEx>
        <w:trPr>
          <w:cantSplit/>
          <w:trHeight w:val="560"/>
        </w:trPr>
        <w:tc>
          <w:tcPr>
            <w:tcW w:w="700" w:type="dxa"/>
            <w:tcMar>
              <w:top w:w="0" w:type="dxa"/>
              <w:bottom w:w="0" w:type="dxa"/>
            </w:tcMar>
            <w:vAlign w:val="center"/>
          </w:tcPr>
          <w:p w14:paraId="0E8531E1" w14:textId="77777777" w:rsidR="00AF6B6A" w:rsidRDefault="00000000">
            <w:pPr>
              <w:keepNext/>
              <w:keepLines/>
              <w:spacing w:after="0" w:line="240" w:lineRule="auto"/>
            </w:pPr>
            <w:r>
              <w:rPr>
                <w:sz w:val="18"/>
              </w:rPr>
              <w:t>652</w:t>
            </w:r>
          </w:p>
        </w:tc>
        <w:tc>
          <w:tcPr>
            <w:tcW w:w="3180" w:type="dxa"/>
            <w:tcMar>
              <w:top w:w="0" w:type="dxa"/>
              <w:bottom w:w="0" w:type="dxa"/>
            </w:tcMar>
            <w:vAlign w:val="center"/>
          </w:tcPr>
          <w:p w14:paraId="26D74B8C" w14:textId="77777777" w:rsidR="00AF6B6A"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2C7A064A" w14:textId="77777777" w:rsidR="00AF6B6A" w:rsidRDefault="00000000">
            <w:pPr>
              <w:keepNext/>
              <w:keepLines/>
              <w:spacing w:after="0" w:line="240" w:lineRule="auto"/>
            </w:pPr>
            <w:r>
              <w:rPr>
                <w:sz w:val="18"/>
              </w:rPr>
              <w:t>652</w:t>
            </w:r>
          </w:p>
        </w:tc>
        <w:tc>
          <w:tcPr>
            <w:tcW w:w="1860" w:type="dxa"/>
            <w:tcMar>
              <w:top w:w="0" w:type="dxa"/>
              <w:bottom w:w="0" w:type="dxa"/>
            </w:tcMar>
            <w:vAlign w:val="center"/>
          </w:tcPr>
          <w:p w14:paraId="605002D9" w14:textId="77777777" w:rsidR="00AF6B6A" w:rsidRDefault="00000000">
            <w:pPr>
              <w:keepNext/>
              <w:keepLines/>
              <w:spacing w:after="0" w:line="240" w:lineRule="auto"/>
              <w:jc w:val="right"/>
            </w:pPr>
            <w:r>
              <w:rPr>
                <w:sz w:val="18"/>
              </w:rPr>
              <w:t>123.977,51</w:t>
            </w:r>
          </w:p>
        </w:tc>
        <w:tc>
          <w:tcPr>
            <w:tcW w:w="1860" w:type="dxa"/>
            <w:tcMar>
              <w:top w:w="0" w:type="dxa"/>
              <w:bottom w:w="0" w:type="dxa"/>
            </w:tcMar>
            <w:vAlign w:val="center"/>
          </w:tcPr>
          <w:p w14:paraId="788A20FC" w14:textId="77777777" w:rsidR="00AF6B6A" w:rsidRDefault="00000000">
            <w:pPr>
              <w:keepNext/>
              <w:keepLines/>
              <w:spacing w:after="0" w:line="240" w:lineRule="auto"/>
              <w:jc w:val="right"/>
            </w:pPr>
            <w:r>
              <w:rPr>
                <w:sz w:val="18"/>
              </w:rPr>
              <w:t>371.948,49</w:t>
            </w:r>
          </w:p>
        </w:tc>
        <w:tc>
          <w:tcPr>
            <w:tcW w:w="700" w:type="dxa"/>
            <w:tcMar>
              <w:top w:w="0" w:type="dxa"/>
              <w:bottom w:w="0" w:type="dxa"/>
            </w:tcMar>
            <w:vAlign w:val="center"/>
          </w:tcPr>
          <w:p w14:paraId="662061CD" w14:textId="77777777" w:rsidR="00AF6B6A" w:rsidRDefault="00000000">
            <w:pPr>
              <w:keepNext/>
              <w:keepLines/>
              <w:spacing w:after="0" w:line="240" w:lineRule="auto"/>
              <w:jc w:val="right"/>
            </w:pPr>
            <w:r>
              <w:rPr>
                <w:sz w:val="18"/>
              </w:rPr>
              <w:t>300,0</w:t>
            </w:r>
          </w:p>
        </w:tc>
      </w:tr>
    </w:tbl>
    <w:p w14:paraId="6803BD56" w14:textId="77777777" w:rsidR="00AF6B6A" w:rsidRDefault="00AF6B6A">
      <w:pPr>
        <w:spacing w:after="0"/>
      </w:pPr>
    </w:p>
    <w:p w14:paraId="728372F8" w14:textId="77777777" w:rsidR="00AF6B6A" w:rsidRDefault="00000000">
      <w:pPr>
        <w:jc w:val="both"/>
      </w:pPr>
      <w:r>
        <w:t>Prihodi po posebnim propisima (652) ostvareni su u iznosu 371.948,49 EUR odnosno 200% više nego 2024. godine najvećim dijelom zbog povećanih ostalih nespomenutih prihoda.</w:t>
      </w:r>
    </w:p>
    <w:p w14:paraId="37DE860F" w14:textId="77777777" w:rsidR="00AF6B6A" w:rsidRDefault="00AF6B6A"/>
    <w:p w14:paraId="6EC9D1ED" w14:textId="77777777" w:rsidR="00AF6B6A" w:rsidRDefault="0000000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6AF47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876131"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A86474"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226CD7"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B63E82"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88E93B"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683468" w14:textId="77777777" w:rsidR="00AF6B6A" w:rsidRDefault="00000000">
            <w:pPr>
              <w:keepNext/>
              <w:keepLines/>
              <w:spacing w:after="0" w:line="240" w:lineRule="auto"/>
              <w:jc w:val="center"/>
            </w:pPr>
            <w:r>
              <w:rPr>
                <w:b/>
                <w:sz w:val="18"/>
              </w:rPr>
              <w:t>Indeks (%)</w:t>
            </w:r>
          </w:p>
        </w:tc>
      </w:tr>
      <w:tr w:rsidR="00AF6B6A" w14:paraId="261669C6" w14:textId="77777777">
        <w:tblPrEx>
          <w:tblCellMar>
            <w:top w:w="0" w:type="dxa"/>
            <w:bottom w:w="0" w:type="dxa"/>
          </w:tblCellMar>
        </w:tblPrEx>
        <w:trPr>
          <w:cantSplit/>
          <w:trHeight w:val="560"/>
        </w:trPr>
        <w:tc>
          <w:tcPr>
            <w:tcW w:w="700" w:type="dxa"/>
            <w:tcMar>
              <w:top w:w="0" w:type="dxa"/>
              <w:bottom w:w="0" w:type="dxa"/>
            </w:tcMar>
            <w:vAlign w:val="center"/>
          </w:tcPr>
          <w:p w14:paraId="1D590142" w14:textId="77777777" w:rsidR="00AF6B6A" w:rsidRDefault="00000000">
            <w:pPr>
              <w:keepNext/>
              <w:keepLines/>
              <w:spacing w:after="0" w:line="240" w:lineRule="auto"/>
            </w:pPr>
            <w:r>
              <w:rPr>
                <w:sz w:val="18"/>
              </w:rPr>
              <w:t>6526</w:t>
            </w:r>
          </w:p>
        </w:tc>
        <w:tc>
          <w:tcPr>
            <w:tcW w:w="3180" w:type="dxa"/>
            <w:tcMar>
              <w:top w:w="0" w:type="dxa"/>
              <w:bottom w:w="0" w:type="dxa"/>
            </w:tcMar>
            <w:vAlign w:val="center"/>
          </w:tcPr>
          <w:p w14:paraId="7A91FF50" w14:textId="77777777" w:rsidR="00AF6B6A" w:rsidRDefault="00000000">
            <w:pPr>
              <w:keepNext/>
              <w:keepLines/>
              <w:spacing w:after="0" w:line="240" w:lineRule="auto"/>
            </w:pPr>
            <w:r>
              <w:rPr>
                <w:sz w:val="18"/>
              </w:rPr>
              <w:t>Ostali nespomenuti prihodi</w:t>
            </w:r>
          </w:p>
        </w:tc>
        <w:tc>
          <w:tcPr>
            <w:tcW w:w="700" w:type="dxa"/>
            <w:tcMar>
              <w:top w:w="0" w:type="dxa"/>
              <w:bottom w:w="0" w:type="dxa"/>
            </w:tcMar>
            <w:vAlign w:val="center"/>
          </w:tcPr>
          <w:p w14:paraId="4DFCA50F" w14:textId="77777777" w:rsidR="00AF6B6A" w:rsidRDefault="00000000">
            <w:pPr>
              <w:keepNext/>
              <w:keepLines/>
              <w:spacing w:after="0" w:line="240" w:lineRule="auto"/>
            </w:pPr>
            <w:r>
              <w:rPr>
                <w:sz w:val="18"/>
              </w:rPr>
              <w:t>6526</w:t>
            </w:r>
          </w:p>
        </w:tc>
        <w:tc>
          <w:tcPr>
            <w:tcW w:w="1860" w:type="dxa"/>
            <w:tcMar>
              <w:top w:w="0" w:type="dxa"/>
              <w:bottom w:w="0" w:type="dxa"/>
            </w:tcMar>
            <w:vAlign w:val="center"/>
          </w:tcPr>
          <w:p w14:paraId="70551A2C" w14:textId="77777777" w:rsidR="00AF6B6A" w:rsidRDefault="00000000">
            <w:pPr>
              <w:keepNext/>
              <w:keepLines/>
              <w:spacing w:after="0" w:line="240" w:lineRule="auto"/>
              <w:jc w:val="right"/>
            </w:pPr>
            <w:r>
              <w:rPr>
                <w:sz w:val="18"/>
              </w:rPr>
              <w:t>117.160,48</w:t>
            </w:r>
          </w:p>
        </w:tc>
        <w:tc>
          <w:tcPr>
            <w:tcW w:w="1860" w:type="dxa"/>
            <w:tcMar>
              <w:top w:w="0" w:type="dxa"/>
              <w:bottom w:w="0" w:type="dxa"/>
            </w:tcMar>
            <w:vAlign w:val="center"/>
          </w:tcPr>
          <w:p w14:paraId="0BD9EF24" w14:textId="77777777" w:rsidR="00AF6B6A" w:rsidRDefault="00000000">
            <w:pPr>
              <w:keepNext/>
              <w:keepLines/>
              <w:spacing w:after="0" w:line="240" w:lineRule="auto"/>
              <w:jc w:val="right"/>
            </w:pPr>
            <w:r>
              <w:rPr>
                <w:sz w:val="18"/>
              </w:rPr>
              <w:t>370.937,02</w:t>
            </w:r>
          </w:p>
        </w:tc>
        <w:tc>
          <w:tcPr>
            <w:tcW w:w="700" w:type="dxa"/>
            <w:tcMar>
              <w:top w:w="0" w:type="dxa"/>
              <w:bottom w:w="0" w:type="dxa"/>
            </w:tcMar>
            <w:vAlign w:val="center"/>
          </w:tcPr>
          <w:p w14:paraId="42B7F3F2" w14:textId="77777777" w:rsidR="00AF6B6A" w:rsidRDefault="00000000">
            <w:pPr>
              <w:keepNext/>
              <w:keepLines/>
              <w:spacing w:after="0" w:line="240" w:lineRule="auto"/>
              <w:jc w:val="right"/>
            </w:pPr>
            <w:r>
              <w:rPr>
                <w:sz w:val="18"/>
              </w:rPr>
              <w:t>316,6</w:t>
            </w:r>
          </w:p>
        </w:tc>
      </w:tr>
    </w:tbl>
    <w:p w14:paraId="44E4A91F" w14:textId="77777777" w:rsidR="00AF6B6A" w:rsidRDefault="00AF6B6A">
      <w:pPr>
        <w:spacing w:after="0"/>
      </w:pPr>
    </w:p>
    <w:p w14:paraId="1338DC16" w14:textId="77777777" w:rsidR="00AF6B6A" w:rsidRDefault="00000000">
      <w:pPr>
        <w:jc w:val="both"/>
      </w:pPr>
      <w:r>
        <w:t>Ostali nespomenuti prihodi (6526) ostvareni su u iznosu 370.937,02 EUR odnosno 216,6% više nego 2024. godine. Navedeno povećanje proizlazi najvećim dijelom zbog doznačenih sredstava prema sporazumu sa tvrtkama „Varkom d.o.o.“ i „Termoplin d.d.“. Navedenim sporazumom ugovoreno je da će gore spomenute tvrtke gradu Varaždinu uplatiti svoj udio troškova nastalih održavanjem nerazvrstanih cesta na području grada Varaždina na kojima su se zajednički izvodili radovi. Navedeno iznosi 211.076,02 EUR.</w:t>
      </w:r>
    </w:p>
    <w:p w14:paraId="075FF8F5" w14:textId="77777777" w:rsidR="00AF6B6A" w:rsidRDefault="00AF6B6A"/>
    <w:p w14:paraId="07DE94FE" w14:textId="77777777" w:rsidR="00AF6B6A"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5493D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067A6B"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92F970"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784216"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8C29E0"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2F2EB8"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203977" w14:textId="77777777" w:rsidR="00AF6B6A" w:rsidRDefault="00000000">
            <w:pPr>
              <w:keepNext/>
              <w:keepLines/>
              <w:spacing w:after="0" w:line="240" w:lineRule="auto"/>
              <w:jc w:val="center"/>
            </w:pPr>
            <w:r>
              <w:rPr>
                <w:b/>
                <w:sz w:val="18"/>
              </w:rPr>
              <w:t>Indeks (%)</w:t>
            </w:r>
          </w:p>
        </w:tc>
      </w:tr>
      <w:tr w:rsidR="00AF6B6A" w14:paraId="1EF86F3A" w14:textId="77777777">
        <w:tblPrEx>
          <w:tblCellMar>
            <w:top w:w="0" w:type="dxa"/>
            <w:bottom w:w="0" w:type="dxa"/>
          </w:tblCellMar>
        </w:tblPrEx>
        <w:trPr>
          <w:cantSplit/>
          <w:trHeight w:val="560"/>
        </w:trPr>
        <w:tc>
          <w:tcPr>
            <w:tcW w:w="700" w:type="dxa"/>
            <w:tcMar>
              <w:top w:w="0" w:type="dxa"/>
              <w:bottom w:w="0" w:type="dxa"/>
            </w:tcMar>
            <w:vAlign w:val="center"/>
          </w:tcPr>
          <w:p w14:paraId="65D9BA09" w14:textId="77777777" w:rsidR="00AF6B6A" w:rsidRDefault="00000000">
            <w:pPr>
              <w:keepNext/>
              <w:keepLines/>
              <w:spacing w:after="0" w:line="240" w:lineRule="auto"/>
            </w:pPr>
            <w:r>
              <w:rPr>
                <w:sz w:val="18"/>
              </w:rPr>
              <w:t>653</w:t>
            </w:r>
          </w:p>
        </w:tc>
        <w:tc>
          <w:tcPr>
            <w:tcW w:w="3180" w:type="dxa"/>
            <w:tcMar>
              <w:top w:w="0" w:type="dxa"/>
              <w:bottom w:w="0" w:type="dxa"/>
            </w:tcMar>
            <w:vAlign w:val="center"/>
          </w:tcPr>
          <w:p w14:paraId="6CC2DEA8" w14:textId="77777777" w:rsidR="00AF6B6A" w:rsidRDefault="00000000">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0AE4C8BF" w14:textId="77777777" w:rsidR="00AF6B6A" w:rsidRDefault="00000000">
            <w:pPr>
              <w:keepNext/>
              <w:keepLines/>
              <w:spacing w:after="0" w:line="240" w:lineRule="auto"/>
            </w:pPr>
            <w:r>
              <w:rPr>
                <w:sz w:val="18"/>
              </w:rPr>
              <w:t>653</w:t>
            </w:r>
          </w:p>
        </w:tc>
        <w:tc>
          <w:tcPr>
            <w:tcW w:w="1860" w:type="dxa"/>
            <w:tcMar>
              <w:top w:w="0" w:type="dxa"/>
              <w:bottom w:w="0" w:type="dxa"/>
            </w:tcMar>
            <w:vAlign w:val="center"/>
          </w:tcPr>
          <w:p w14:paraId="05F608A7" w14:textId="77777777" w:rsidR="00AF6B6A" w:rsidRDefault="00000000">
            <w:pPr>
              <w:keepNext/>
              <w:keepLines/>
              <w:spacing w:after="0" w:line="240" w:lineRule="auto"/>
              <w:jc w:val="right"/>
            </w:pPr>
            <w:r>
              <w:rPr>
                <w:sz w:val="18"/>
              </w:rPr>
              <w:t>7.357.401,91</w:t>
            </w:r>
          </w:p>
        </w:tc>
        <w:tc>
          <w:tcPr>
            <w:tcW w:w="1860" w:type="dxa"/>
            <w:tcMar>
              <w:top w:w="0" w:type="dxa"/>
              <w:bottom w:w="0" w:type="dxa"/>
            </w:tcMar>
            <w:vAlign w:val="center"/>
          </w:tcPr>
          <w:p w14:paraId="4AB6AA29" w14:textId="77777777" w:rsidR="00AF6B6A" w:rsidRDefault="00000000">
            <w:pPr>
              <w:keepNext/>
              <w:keepLines/>
              <w:spacing w:after="0" w:line="240" w:lineRule="auto"/>
              <w:jc w:val="right"/>
            </w:pPr>
            <w:r>
              <w:rPr>
                <w:sz w:val="18"/>
              </w:rPr>
              <w:t>8.095.317,51</w:t>
            </w:r>
          </w:p>
        </w:tc>
        <w:tc>
          <w:tcPr>
            <w:tcW w:w="700" w:type="dxa"/>
            <w:tcMar>
              <w:top w:w="0" w:type="dxa"/>
              <w:bottom w:w="0" w:type="dxa"/>
            </w:tcMar>
            <w:vAlign w:val="center"/>
          </w:tcPr>
          <w:p w14:paraId="5CAAC946" w14:textId="77777777" w:rsidR="00AF6B6A" w:rsidRDefault="00000000">
            <w:pPr>
              <w:keepNext/>
              <w:keepLines/>
              <w:spacing w:after="0" w:line="240" w:lineRule="auto"/>
              <w:jc w:val="right"/>
            </w:pPr>
            <w:r>
              <w:rPr>
                <w:sz w:val="18"/>
              </w:rPr>
              <w:t>110,0</w:t>
            </w:r>
          </w:p>
        </w:tc>
      </w:tr>
    </w:tbl>
    <w:p w14:paraId="3BCFD405" w14:textId="77777777" w:rsidR="00AF6B6A" w:rsidRDefault="00AF6B6A">
      <w:pPr>
        <w:spacing w:after="0"/>
      </w:pPr>
    </w:p>
    <w:p w14:paraId="2F059664" w14:textId="77777777" w:rsidR="00AF6B6A" w:rsidRDefault="00000000">
      <w:r>
        <w:t>Komunalni doprinosi i naknade (653) ostvareni su u iznosu od 8.095.317,51 EUR.</w:t>
      </w:r>
    </w:p>
    <w:p w14:paraId="04673440" w14:textId="77777777" w:rsidR="00AF6B6A" w:rsidRDefault="00AF6B6A"/>
    <w:p w14:paraId="064C3E64" w14:textId="77777777" w:rsidR="00AF6B6A"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4F6A75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022C37"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670211"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C6EF9C"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E31EAB"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1C6EA6"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CD98C5" w14:textId="77777777" w:rsidR="00AF6B6A" w:rsidRDefault="00000000">
            <w:pPr>
              <w:keepNext/>
              <w:keepLines/>
              <w:spacing w:after="0" w:line="240" w:lineRule="auto"/>
              <w:jc w:val="center"/>
            </w:pPr>
            <w:r>
              <w:rPr>
                <w:b/>
                <w:sz w:val="18"/>
              </w:rPr>
              <w:t>Indeks (%)</w:t>
            </w:r>
          </w:p>
        </w:tc>
      </w:tr>
      <w:tr w:rsidR="00AF6B6A" w14:paraId="283A666D" w14:textId="77777777">
        <w:tblPrEx>
          <w:tblCellMar>
            <w:top w:w="0" w:type="dxa"/>
            <w:bottom w:w="0" w:type="dxa"/>
          </w:tblCellMar>
        </w:tblPrEx>
        <w:trPr>
          <w:cantSplit/>
          <w:trHeight w:val="560"/>
        </w:trPr>
        <w:tc>
          <w:tcPr>
            <w:tcW w:w="700" w:type="dxa"/>
            <w:tcMar>
              <w:top w:w="0" w:type="dxa"/>
              <w:bottom w:w="0" w:type="dxa"/>
            </w:tcMar>
            <w:vAlign w:val="center"/>
          </w:tcPr>
          <w:p w14:paraId="42291D0A" w14:textId="77777777" w:rsidR="00AF6B6A" w:rsidRDefault="00000000">
            <w:pPr>
              <w:keepNext/>
              <w:keepLines/>
              <w:spacing w:after="0" w:line="240" w:lineRule="auto"/>
            </w:pPr>
            <w:r>
              <w:rPr>
                <w:sz w:val="18"/>
              </w:rPr>
              <w:t>6531</w:t>
            </w:r>
          </w:p>
        </w:tc>
        <w:tc>
          <w:tcPr>
            <w:tcW w:w="3180" w:type="dxa"/>
            <w:tcMar>
              <w:top w:w="0" w:type="dxa"/>
              <w:bottom w:w="0" w:type="dxa"/>
            </w:tcMar>
            <w:vAlign w:val="center"/>
          </w:tcPr>
          <w:p w14:paraId="3E4BD50F" w14:textId="77777777" w:rsidR="00AF6B6A" w:rsidRDefault="00000000">
            <w:pPr>
              <w:keepNext/>
              <w:keepLines/>
              <w:spacing w:after="0" w:line="240" w:lineRule="auto"/>
            </w:pPr>
            <w:r>
              <w:rPr>
                <w:sz w:val="18"/>
              </w:rPr>
              <w:t>Komunalni doprinosi</w:t>
            </w:r>
          </w:p>
        </w:tc>
        <w:tc>
          <w:tcPr>
            <w:tcW w:w="700" w:type="dxa"/>
            <w:tcMar>
              <w:top w:w="0" w:type="dxa"/>
              <w:bottom w:w="0" w:type="dxa"/>
            </w:tcMar>
            <w:vAlign w:val="center"/>
          </w:tcPr>
          <w:p w14:paraId="7E3984C6" w14:textId="77777777" w:rsidR="00AF6B6A" w:rsidRDefault="00000000">
            <w:pPr>
              <w:keepNext/>
              <w:keepLines/>
              <w:spacing w:after="0" w:line="240" w:lineRule="auto"/>
            </w:pPr>
            <w:r>
              <w:rPr>
                <w:sz w:val="18"/>
              </w:rPr>
              <w:t>6531</w:t>
            </w:r>
          </w:p>
        </w:tc>
        <w:tc>
          <w:tcPr>
            <w:tcW w:w="1860" w:type="dxa"/>
            <w:tcMar>
              <w:top w:w="0" w:type="dxa"/>
              <w:bottom w:w="0" w:type="dxa"/>
            </w:tcMar>
            <w:vAlign w:val="center"/>
          </w:tcPr>
          <w:p w14:paraId="7FA7A872" w14:textId="77777777" w:rsidR="00AF6B6A" w:rsidRDefault="00000000">
            <w:pPr>
              <w:keepNext/>
              <w:keepLines/>
              <w:spacing w:after="0" w:line="240" w:lineRule="auto"/>
              <w:jc w:val="right"/>
            </w:pPr>
            <w:r>
              <w:rPr>
                <w:sz w:val="18"/>
              </w:rPr>
              <w:t>758.582,69</w:t>
            </w:r>
          </w:p>
        </w:tc>
        <w:tc>
          <w:tcPr>
            <w:tcW w:w="1860" w:type="dxa"/>
            <w:tcMar>
              <w:top w:w="0" w:type="dxa"/>
              <w:bottom w:w="0" w:type="dxa"/>
            </w:tcMar>
            <w:vAlign w:val="center"/>
          </w:tcPr>
          <w:p w14:paraId="5DF61BD1" w14:textId="77777777" w:rsidR="00AF6B6A" w:rsidRDefault="00000000">
            <w:pPr>
              <w:keepNext/>
              <w:keepLines/>
              <w:spacing w:after="0" w:line="240" w:lineRule="auto"/>
              <w:jc w:val="right"/>
            </w:pPr>
            <w:r>
              <w:rPr>
                <w:sz w:val="18"/>
              </w:rPr>
              <w:t>1.316.670,99</w:t>
            </w:r>
          </w:p>
        </w:tc>
        <w:tc>
          <w:tcPr>
            <w:tcW w:w="700" w:type="dxa"/>
            <w:tcMar>
              <w:top w:w="0" w:type="dxa"/>
              <w:bottom w:w="0" w:type="dxa"/>
            </w:tcMar>
            <w:vAlign w:val="center"/>
          </w:tcPr>
          <w:p w14:paraId="45960B40" w14:textId="77777777" w:rsidR="00AF6B6A" w:rsidRDefault="00000000">
            <w:pPr>
              <w:keepNext/>
              <w:keepLines/>
              <w:spacing w:after="0" w:line="240" w:lineRule="auto"/>
              <w:jc w:val="right"/>
            </w:pPr>
            <w:r>
              <w:rPr>
                <w:sz w:val="18"/>
              </w:rPr>
              <w:t>173,6</w:t>
            </w:r>
          </w:p>
        </w:tc>
      </w:tr>
    </w:tbl>
    <w:p w14:paraId="637824B5" w14:textId="77777777" w:rsidR="00AF6B6A" w:rsidRDefault="00AF6B6A">
      <w:pPr>
        <w:spacing w:after="0"/>
      </w:pPr>
    </w:p>
    <w:p w14:paraId="13252E0A" w14:textId="77777777" w:rsidR="00AF6B6A" w:rsidRDefault="00000000">
      <w:pPr>
        <w:jc w:val="both"/>
      </w:pPr>
      <w:r>
        <w:t>Komunalni doprinosi (6531) naplaćeni su u značajno većem iznosu u odnosu na prošlo razdoblje te iznose 1.316.670,99 EUR, a navedeno proizlazi zbog većeg broj izdanih i naplaćenih rješenja za komunalni doprinos.</w:t>
      </w:r>
    </w:p>
    <w:p w14:paraId="1463F9E5" w14:textId="77777777" w:rsidR="00AF6B6A" w:rsidRDefault="00AF6B6A"/>
    <w:p w14:paraId="5A768BE0" w14:textId="77777777" w:rsidR="00AF6B6A"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4D9511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E0E75F"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18D692"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EC5537"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8DDEF9"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AFAE93"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C93F7B" w14:textId="77777777" w:rsidR="00AF6B6A" w:rsidRDefault="00000000">
            <w:pPr>
              <w:keepNext/>
              <w:keepLines/>
              <w:spacing w:after="0" w:line="240" w:lineRule="auto"/>
              <w:jc w:val="center"/>
            </w:pPr>
            <w:r>
              <w:rPr>
                <w:b/>
                <w:sz w:val="18"/>
              </w:rPr>
              <w:t>Indeks (%)</w:t>
            </w:r>
          </w:p>
        </w:tc>
      </w:tr>
      <w:tr w:rsidR="00AF6B6A" w14:paraId="222B935F" w14:textId="77777777">
        <w:tblPrEx>
          <w:tblCellMar>
            <w:top w:w="0" w:type="dxa"/>
            <w:bottom w:w="0" w:type="dxa"/>
          </w:tblCellMar>
        </w:tblPrEx>
        <w:trPr>
          <w:cantSplit/>
          <w:trHeight w:val="560"/>
        </w:trPr>
        <w:tc>
          <w:tcPr>
            <w:tcW w:w="700" w:type="dxa"/>
            <w:tcMar>
              <w:top w:w="0" w:type="dxa"/>
              <w:bottom w:w="0" w:type="dxa"/>
            </w:tcMar>
            <w:vAlign w:val="center"/>
          </w:tcPr>
          <w:p w14:paraId="6AD6B1D6" w14:textId="77777777" w:rsidR="00AF6B6A" w:rsidRDefault="00000000">
            <w:pPr>
              <w:keepNext/>
              <w:keepLines/>
              <w:spacing w:after="0" w:line="240" w:lineRule="auto"/>
            </w:pPr>
            <w:r>
              <w:rPr>
                <w:sz w:val="18"/>
              </w:rPr>
              <w:t>6532</w:t>
            </w:r>
          </w:p>
        </w:tc>
        <w:tc>
          <w:tcPr>
            <w:tcW w:w="3180" w:type="dxa"/>
            <w:tcMar>
              <w:top w:w="0" w:type="dxa"/>
              <w:bottom w:w="0" w:type="dxa"/>
            </w:tcMar>
            <w:vAlign w:val="center"/>
          </w:tcPr>
          <w:p w14:paraId="49715CB2" w14:textId="77777777" w:rsidR="00AF6B6A" w:rsidRDefault="00000000">
            <w:pPr>
              <w:keepNext/>
              <w:keepLines/>
              <w:spacing w:after="0" w:line="240" w:lineRule="auto"/>
            </w:pPr>
            <w:r>
              <w:rPr>
                <w:sz w:val="18"/>
              </w:rPr>
              <w:t>Komunalne naknade</w:t>
            </w:r>
          </w:p>
        </w:tc>
        <w:tc>
          <w:tcPr>
            <w:tcW w:w="700" w:type="dxa"/>
            <w:tcMar>
              <w:top w:w="0" w:type="dxa"/>
              <w:bottom w:w="0" w:type="dxa"/>
            </w:tcMar>
            <w:vAlign w:val="center"/>
          </w:tcPr>
          <w:p w14:paraId="1CFDFF8B" w14:textId="77777777" w:rsidR="00AF6B6A" w:rsidRDefault="00000000">
            <w:pPr>
              <w:keepNext/>
              <w:keepLines/>
              <w:spacing w:after="0" w:line="240" w:lineRule="auto"/>
            </w:pPr>
            <w:r>
              <w:rPr>
                <w:sz w:val="18"/>
              </w:rPr>
              <w:t>6532</w:t>
            </w:r>
          </w:p>
        </w:tc>
        <w:tc>
          <w:tcPr>
            <w:tcW w:w="1860" w:type="dxa"/>
            <w:tcMar>
              <w:top w:w="0" w:type="dxa"/>
              <w:bottom w:w="0" w:type="dxa"/>
            </w:tcMar>
            <w:vAlign w:val="center"/>
          </w:tcPr>
          <w:p w14:paraId="57413A08" w14:textId="77777777" w:rsidR="00AF6B6A" w:rsidRDefault="00000000">
            <w:pPr>
              <w:keepNext/>
              <w:keepLines/>
              <w:spacing w:after="0" w:line="240" w:lineRule="auto"/>
              <w:jc w:val="right"/>
            </w:pPr>
            <w:r>
              <w:rPr>
                <w:sz w:val="18"/>
              </w:rPr>
              <w:t>6.598.819,22</w:t>
            </w:r>
          </w:p>
        </w:tc>
        <w:tc>
          <w:tcPr>
            <w:tcW w:w="1860" w:type="dxa"/>
            <w:tcMar>
              <w:top w:w="0" w:type="dxa"/>
              <w:bottom w:w="0" w:type="dxa"/>
            </w:tcMar>
            <w:vAlign w:val="center"/>
          </w:tcPr>
          <w:p w14:paraId="7C5C2A22" w14:textId="77777777" w:rsidR="00AF6B6A" w:rsidRDefault="00000000">
            <w:pPr>
              <w:keepNext/>
              <w:keepLines/>
              <w:spacing w:after="0" w:line="240" w:lineRule="auto"/>
              <w:jc w:val="right"/>
            </w:pPr>
            <w:r>
              <w:rPr>
                <w:sz w:val="18"/>
              </w:rPr>
              <w:t>6.778.646,52</w:t>
            </w:r>
          </w:p>
        </w:tc>
        <w:tc>
          <w:tcPr>
            <w:tcW w:w="700" w:type="dxa"/>
            <w:tcMar>
              <w:top w:w="0" w:type="dxa"/>
              <w:bottom w:w="0" w:type="dxa"/>
            </w:tcMar>
            <w:vAlign w:val="center"/>
          </w:tcPr>
          <w:p w14:paraId="76C94366" w14:textId="77777777" w:rsidR="00AF6B6A" w:rsidRDefault="00000000">
            <w:pPr>
              <w:keepNext/>
              <w:keepLines/>
              <w:spacing w:after="0" w:line="240" w:lineRule="auto"/>
              <w:jc w:val="right"/>
            </w:pPr>
            <w:r>
              <w:rPr>
                <w:sz w:val="18"/>
              </w:rPr>
              <w:t>102,7</w:t>
            </w:r>
          </w:p>
        </w:tc>
      </w:tr>
    </w:tbl>
    <w:p w14:paraId="7CC16BF7" w14:textId="77777777" w:rsidR="00AF6B6A" w:rsidRDefault="00AF6B6A">
      <w:pPr>
        <w:spacing w:after="0"/>
      </w:pPr>
    </w:p>
    <w:p w14:paraId="2357D55F" w14:textId="77777777" w:rsidR="00AF6B6A" w:rsidRDefault="00000000">
      <w:pPr>
        <w:jc w:val="both"/>
      </w:pPr>
      <w:r>
        <w:t>Komunalna naknada (6532) ostvarena je u visini od 6.778.646,52 EUR što je 2,7 % više  u odnosu na ostvarenje godinu dana ranije.</w:t>
      </w:r>
    </w:p>
    <w:p w14:paraId="7BA1740D" w14:textId="77777777" w:rsidR="00AF6B6A" w:rsidRDefault="00AF6B6A"/>
    <w:p w14:paraId="7BEE0F0E" w14:textId="77777777" w:rsidR="00AF6B6A"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681A2F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C4817F"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A8D740"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56A4AA"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F7F5AE"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9911F2"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521C73" w14:textId="77777777" w:rsidR="00AF6B6A" w:rsidRDefault="00000000">
            <w:pPr>
              <w:keepNext/>
              <w:keepLines/>
              <w:spacing w:after="0" w:line="240" w:lineRule="auto"/>
              <w:jc w:val="center"/>
            </w:pPr>
            <w:r>
              <w:rPr>
                <w:b/>
                <w:sz w:val="18"/>
              </w:rPr>
              <w:t>Indeks (%)</w:t>
            </w:r>
          </w:p>
        </w:tc>
      </w:tr>
      <w:tr w:rsidR="00AF6B6A" w14:paraId="78D939E8" w14:textId="77777777">
        <w:tblPrEx>
          <w:tblCellMar>
            <w:top w:w="0" w:type="dxa"/>
            <w:bottom w:w="0" w:type="dxa"/>
          </w:tblCellMar>
        </w:tblPrEx>
        <w:trPr>
          <w:cantSplit/>
          <w:trHeight w:val="560"/>
        </w:trPr>
        <w:tc>
          <w:tcPr>
            <w:tcW w:w="700" w:type="dxa"/>
            <w:tcMar>
              <w:top w:w="0" w:type="dxa"/>
              <w:bottom w:w="0" w:type="dxa"/>
            </w:tcMar>
            <w:vAlign w:val="center"/>
          </w:tcPr>
          <w:p w14:paraId="4FA5267B" w14:textId="77777777" w:rsidR="00AF6B6A" w:rsidRDefault="00000000">
            <w:pPr>
              <w:keepNext/>
              <w:keepLines/>
              <w:spacing w:after="0" w:line="240" w:lineRule="auto"/>
            </w:pPr>
            <w:r>
              <w:rPr>
                <w:sz w:val="18"/>
              </w:rPr>
              <w:t>66</w:t>
            </w:r>
          </w:p>
        </w:tc>
        <w:tc>
          <w:tcPr>
            <w:tcW w:w="3180" w:type="dxa"/>
            <w:tcMar>
              <w:top w:w="0" w:type="dxa"/>
              <w:bottom w:w="0" w:type="dxa"/>
            </w:tcMar>
            <w:vAlign w:val="center"/>
          </w:tcPr>
          <w:p w14:paraId="0DC21840" w14:textId="77777777" w:rsidR="00AF6B6A"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6A290160" w14:textId="77777777" w:rsidR="00AF6B6A" w:rsidRDefault="00000000">
            <w:pPr>
              <w:keepNext/>
              <w:keepLines/>
              <w:spacing w:after="0" w:line="240" w:lineRule="auto"/>
            </w:pPr>
            <w:r>
              <w:rPr>
                <w:sz w:val="18"/>
              </w:rPr>
              <w:t>66</w:t>
            </w:r>
          </w:p>
        </w:tc>
        <w:tc>
          <w:tcPr>
            <w:tcW w:w="1860" w:type="dxa"/>
            <w:tcMar>
              <w:top w:w="0" w:type="dxa"/>
              <w:bottom w:w="0" w:type="dxa"/>
            </w:tcMar>
            <w:vAlign w:val="center"/>
          </w:tcPr>
          <w:p w14:paraId="4226AD92" w14:textId="77777777" w:rsidR="00AF6B6A" w:rsidRDefault="00000000">
            <w:pPr>
              <w:keepNext/>
              <w:keepLines/>
              <w:spacing w:after="0" w:line="240" w:lineRule="auto"/>
              <w:jc w:val="right"/>
            </w:pPr>
            <w:r>
              <w:rPr>
                <w:sz w:val="18"/>
              </w:rPr>
              <w:t>213.855,33</w:t>
            </w:r>
          </w:p>
        </w:tc>
        <w:tc>
          <w:tcPr>
            <w:tcW w:w="1860" w:type="dxa"/>
            <w:tcMar>
              <w:top w:w="0" w:type="dxa"/>
              <w:bottom w:w="0" w:type="dxa"/>
            </w:tcMar>
            <w:vAlign w:val="center"/>
          </w:tcPr>
          <w:p w14:paraId="60DD90E1" w14:textId="77777777" w:rsidR="00AF6B6A" w:rsidRDefault="00000000">
            <w:pPr>
              <w:keepNext/>
              <w:keepLines/>
              <w:spacing w:after="0" w:line="240" w:lineRule="auto"/>
              <w:jc w:val="right"/>
            </w:pPr>
            <w:r>
              <w:rPr>
                <w:sz w:val="18"/>
              </w:rPr>
              <w:t>180.500,00</w:t>
            </w:r>
          </w:p>
        </w:tc>
        <w:tc>
          <w:tcPr>
            <w:tcW w:w="700" w:type="dxa"/>
            <w:tcMar>
              <w:top w:w="0" w:type="dxa"/>
              <w:bottom w:w="0" w:type="dxa"/>
            </w:tcMar>
            <w:vAlign w:val="center"/>
          </w:tcPr>
          <w:p w14:paraId="2F0BF596" w14:textId="77777777" w:rsidR="00AF6B6A" w:rsidRDefault="00000000">
            <w:pPr>
              <w:keepNext/>
              <w:keepLines/>
              <w:spacing w:after="0" w:line="240" w:lineRule="auto"/>
              <w:jc w:val="right"/>
            </w:pPr>
            <w:r>
              <w:rPr>
                <w:sz w:val="18"/>
              </w:rPr>
              <w:t>84,4</w:t>
            </w:r>
          </w:p>
        </w:tc>
      </w:tr>
    </w:tbl>
    <w:p w14:paraId="408F5EE2" w14:textId="77777777" w:rsidR="00AF6B6A" w:rsidRDefault="00AF6B6A">
      <w:pPr>
        <w:spacing w:after="0"/>
      </w:pPr>
    </w:p>
    <w:p w14:paraId="5737E9A1" w14:textId="77777777" w:rsidR="00AF6B6A" w:rsidRDefault="00000000">
      <w:pPr>
        <w:jc w:val="both"/>
      </w:pPr>
      <w:r>
        <w:t>Prihodi od prodaje proizvoda i roba te pruženih usluga i prihodi od donacija te povrati po protestnim jamstvima (66) iznose 180.500 EUR.</w:t>
      </w:r>
    </w:p>
    <w:p w14:paraId="170AA40D" w14:textId="77777777" w:rsidR="00AF6B6A" w:rsidRDefault="00AF6B6A"/>
    <w:p w14:paraId="0E44430B" w14:textId="77777777" w:rsidR="00AF6B6A"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77DC1C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CCB8F0"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DFB504"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302E99"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787CBE"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568B11"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2209BB" w14:textId="77777777" w:rsidR="00AF6B6A" w:rsidRDefault="00000000">
            <w:pPr>
              <w:keepNext/>
              <w:keepLines/>
              <w:spacing w:after="0" w:line="240" w:lineRule="auto"/>
              <w:jc w:val="center"/>
            </w:pPr>
            <w:r>
              <w:rPr>
                <w:b/>
                <w:sz w:val="18"/>
              </w:rPr>
              <w:t>Indeks (%)</w:t>
            </w:r>
          </w:p>
        </w:tc>
      </w:tr>
      <w:tr w:rsidR="00AF6B6A" w14:paraId="22DAB1CD" w14:textId="77777777">
        <w:tblPrEx>
          <w:tblCellMar>
            <w:top w:w="0" w:type="dxa"/>
            <w:bottom w:w="0" w:type="dxa"/>
          </w:tblCellMar>
        </w:tblPrEx>
        <w:trPr>
          <w:cantSplit/>
          <w:trHeight w:val="560"/>
        </w:trPr>
        <w:tc>
          <w:tcPr>
            <w:tcW w:w="700" w:type="dxa"/>
            <w:tcMar>
              <w:top w:w="0" w:type="dxa"/>
              <w:bottom w:w="0" w:type="dxa"/>
            </w:tcMar>
            <w:vAlign w:val="center"/>
          </w:tcPr>
          <w:p w14:paraId="524ADF4F" w14:textId="77777777" w:rsidR="00AF6B6A" w:rsidRDefault="00000000">
            <w:pPr>
              <w:keepNext/>
              <w:keepLines/>
              <w:spacing w:after="0" w:line="240" w:lineRule="auto"/>
            </w:pPr>
            <w:r>
              <w:rPr>
                <w:sz w:val="18"/>
              </w:rPr>
              <w:t>661</w:t>
            </w:r>
          </w:p>
        </w:tc>
        <w:tc>
          <w:tcPr>
            <w:tcW w:w="3180" w:type="dxa"/>
            <w:tcMar>
              <w:top w:w="0" w:type="dxa"/>
              <w:bottom w:w="0" w:type="dxa"/>
            </w:tcMar>
            <w:vAlign w:val="center"/>
          </w:tcPr>
          <w:p w14:paraId="1D65C1ED" w14:textId="77777777" w:rsidR="00AF6B6A"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63CD6DF9" w14:textId="77777777" w:rsidR="00AF6B6A" w:rsidRDefault="00000000">
            <w:pPr>
              <w:keepNext/>
              <w:keepLines/>
              <w:spacing w:after="0" w:line="240" w:lineRule="auto"/>
            </w:pPr>
            <w:r>
              <w:rPr>
                <w:sz w:val="18"/>
              </w:rPr>
              <w:t>661</w:t>
            </w:r>
          </w:p>
        </w:tc>
        <w:tc>
          <w:tcPr>
            <w:tcW w:w="1860" w:type="dxa"/>
            <w:tcMar>
              <w:top w:w="0" w:type="dxa"/>
              <w:bottom w:w="0" w:type="dxa"/>
            </w:tcMar>
            <w:vAlign w:val="center"/>
          </w:tcPr>
          <w:p w14:paraId="5B00D13B" w14:textId="77777777" w:rsidR="00AF6B6A" w:rsidRDefault="00000000">
            <w:pPr>
              <w:keepNext/>
              <w:keepLines/>
              <w:spacing w:after="0" w:line="240" w:lineRule="auto"/>
              <w:jc w:val="right"/>
            </w:pPr>
            <w:r>
              <w:rPr>
                <w:sz w:val="18"/>
              </w:rPr>
              <w:t>199.355,33</w:t>
            </w:r>
          </w:p>
        </w:tc>
        <w:tc>
          <w:tcPr>
            <w:tcW w:w="1860" w:type="dxa"/>
            <w:tcMar>
              <w:top w:w="0" w:type="dxa"/>
              <w:bottom w:w="0" w:type="dxa"/>
            </w:tcMar>
            <w:vAlign w:val="center"/>
          </w:tcPr>
          <w:p w14:paraId="4967B43A" w14:textId="77777777" w:rsidR="00AF6B6A" w:rsidRDefault="00000000">
            <w:pPr>
              <w:keepNext/>
              <w:keepLines/>
              <w:spacing w:after="0" w:line="240" w:lineRule="auto"/>
              <w:jc w:val="right"/>
            </w:pPr>
            <w:r>
              <w:rPr>
                <w:sz w:val="18"/>
              </w:rPr>
              <w:t>168.000,00</w:t>
            </w:r>
          </w:p>
        </w:tc>
        <w:tc>
          <w:tcPr>
            <w:tcW w:w="700" w:type="dxa"/>
            <w:tcMar>
              <w:top w:w="0" w:type="dxa"/>
              <w:bottom w:w="0" w:type="dxa"/>
            </w:tcMar>
            <w:vAlign w:val="center"/>
          </w:tcPr>
          <w:p w14:paraId="2A79EF36" w14:textId="77777777" w:rsidR="00AF6B6A" w:rsidRDefault="00000000">
            <w:pPr>
              <w:keepNext/>
              <w:keepLines/>
              <w:spacing w:after="0" w:line="240" w:lineRule="auto"/>
              <w:jc w:val="right"/>
            </w:pPr>
            <w:r>
              <w:rPr>
                <w:sz w:val="18"/>
              </w:rPr>
              <w:t>84,3</w:t>
            </w:r>
          </w:p>
        </w:tc>
      </w:tr>
    </w:tbl>
    <w:p w14:paraId="3AE3CE61" w14:textId="77777777" w:rsidR="00AF6B6A" w:rsidRDefault="00AF6B6A">
      <w:pPr>
        <w:spacing w:after="0"/>
      </w:pPr>
    </w:p>
    <w:p w14:paraId="50712EF6" w14:textId="77777777" w:rsidR="00AF6B6A" w:rsidRDefault="00000000">
      <w:pPr>
        <w:jc w:val="both"/>
      </w:pPr>
      <w:r>
        <w:t>Prihodi od prodaje proizvoda i roba te pruženih usluga (661) ostvareni su 168.000,00 EUR. Ovi prihodi ostvaruju se po osnovi vođenja i evidentiranja naknade za uređenje voda za korisnika Hrvatske vode.</w:t>
      </w:r>
    </w:p>
    <w:p w14:paraId="21237766" w14:textId="77777777" w:rsidR="00AF6B6A" w:rsidRDefault="00AF6B6A"/>
    <w:p w14:paraId="68A84A56" w14:textId="77777777" w:rsidR="00AF6B6A"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7D3E3F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38AD9F"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696136"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C33427"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B48659"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92D76E"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5F5B4B" w14:textId="77777777" w:rsidR="00AF6B6A" w:rsidRDefault="00000000">
            <w:pPr>
              <w:keepNext/>
              <w:keepLines/>
              <w:spacing w:after="0" w:line="240" w:lineRule="auto"/>
              <w:jc w:val="center"/>
            </w:pPr>
            <w:r>
              <w:rPr>
                <w:b/>
                <w:sz w:val="18"/>
              </w:rPr>
              <w:t>Indeks (%)</w:t>
            </w:r>
          </w:p>
        </w:tc>
      </w:tr>
      <w:tr w:rsidR="00AF6B6A" w14:paraId="26D81083" w14:textId="77777777">
        <w:tblPrEx>
          <w:tblCellMar>
            <w:top w:w="0" w:type="dxa"/>
            <w:bottom w:w="0" w:type="dxa"/>
          </w:tblCellMar>
        </w:tblPrEx>
        <w:trPr>
          <w:cantSplit/>
          <w:trHeight w:val="560"/>
        </w:trPr>
        <w:tc>
          <w:tcPr>
            <w:tcW w:w="700" w:type="dxa"/>
            <w:tcMar>
              <w:top w:w="0" w:type="dxa"/>
              <w:bottom w:w="0" w:type="dxa"/>
            </w:tcMar>
            <w:vAlign w:val="center"/>
          </w:tcPr>
          <w:p w14:paraId="580DC049" w14:textId="77777777" w:rsidR="00AF6B6A" w:rsidRDefault="00000000">
            <w:pPr>
              <w:keepNext/>
              <w:keepLines/>
              <w:spacing w:after="0" w:line="240" w:lineRule="auto"/>
            </w:pPr>
            <w:r>
              <w:rPr>
                <w:sz w:val="18"/>
              </w:rPr>
              <w:t>663</w:t>
            </w:r>
          </w:p>
        </w:tc>
        <w:tc>
          <w:tcPr>
            <w:tcW w:w="3180" w:type="dxa"/>
            <w:tcMar>
              <w:top w:w="0" w:type="dxa"/>
              <w:bottom w:w="0" w:type="dxa"/>
            </w:tcMar>
            <w:vAlign w:val="center"/>
          </w:tcPr>
          <w:p w14:paraId="22968D5C" w14:textId="77777777" w:rsidR="00AF6B6A"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04B9B7ED" w14:textId="77777777" w:rsidR="00AF6B6A" w:rsidRDefault="00000000">
            <w:pPr>
              <w:keepNext/>
              <w:keepLines/>
              <w:spacing w:after="0" w:line="240" w:lineRule="auto"/>
            </w:pPr>
            <w:r>
              <w:rPr>
                <w:sz w:val="18"/>
              </w:rPr>
              <w:t>663</w:t>
            </w:r>
          </w:p>
        </w:tc>
        <w:tc>
          <w:tcPr>
            <w:tcW w:w="1860" w:type="dxa"/>
            <w:tcMar>
              <w:top w:w="0" w:type="dxa"/>
              <w:bottom w:w="0" w:type="dxa"/>
            </w:tcMar>
            <w:vAlign w:val="center"/>
          </w:tcPr>
          <w:p w14:paraId="63D1A6BC" w14:textId="77777777" w:rsidR="00AF6B6A" w:rsidRDefault="00000000">
            <w:pPr>
              <w:keepNext/>
              <w:keepLines/>
              <w:spacing w:after="0" w:line="240" w:lineRule="auto"/>
              <w:jc w:val="right"/>
            </w:pPr>
            <w:r>
              <w:rPr>
                <w:sz w:val="18"/>
              </w:rPr>
              <w:t>14.500,00</w:t>
            </w:r>
          </w:p>
        </w:tc>
        <w:tc>
          <w:tcPr>
            <w:tcW w:w="1860" w:type="dxa"/>
            <w:tcMar>
              <w:top w:w="0" w:type="dxa"/>
              <w:bottom w:w="0" w:type="dxa"/>
            </w:tcMar>
            <w:vAlign w:val="center"/>
          </w:tcPr>
          <w:p w14:paraId="7CF65781" w14:textId="77777777" w:rsidR="00AF6B6A" w:rsidRDefault="00000000">
            <w:pPr>
              <w:keepNext/>
              <w:keepLines/>
              <w:spacing w:after="0" w:line="240" w:lineRule="auto"/>
              <w:jc w:val="right"/>
            </w:pPr>
            <w:r>
              <w:rPr>
                <w:sz w:val="18"/>
              </w:rPr>
              <w:t>12.500,00</w:t>
            </w:r>
          </w:p>
        </w:tc>
        <w:tc>
          <w:tcPr>
            <w:tcW w:w="700" w:type="dxa"/>
            <w:tcMar>
              <w:top w:w="0" w:type="dxa"/>
              <w:bottom w:w="0" w:type="dxa"/>
            </w:tcMar>
            <w:vAlign w:val="center"/>
          </w:tcPr>
          <w:p w14:paraId="1187EE92" w14:textId="77777777" w:rsidR="00AF6B6A" w:rsidRDefault="00000000">
            <w:pPr>
              <w:keepNext/>
              <w:keepLines/>
              <w:spacing w:after="0" w:line="240" w:lineRule="auto"/>
              <w:jc w:val="right"/>
            </w:pPr>
            <w:r>
              <w:rPr>
                <w:sz w:val="18"/>
              </w:rPr>
              <w:t>86,2</w:t>
            </w:r>
          </w:p>
        </w:tc>
      </w:tr>
    </w:tbl>
    <w:p w14:paraId="49FE3147" w14:textId="77777777" w:rsidR="00AF6B6A" w:rsidRDefault="00AF6B6A">
      <w:pPr>
        <w:spacing w:after="0"/>
      </w:pPr>
    </w:p>
    <w:p w14:paraId="37B559C5" w14:textId="77777777" w:rsidR="00AF6B6A" w:rsidRDefault="00000000">
      <w:pPr>
        <w:jc w:val="both"/>
      </w:pPr>
      <w:r>
        <w:t>Donacije od pravnih i fizičkih osoba izvan opće države (663) ostvarene su u iznosu 12.500,00 EUR.</w:t>
      </w:r>
    </w:p>
    <w:p w14:paraId="4341A066" w14:textId="77777777" w:rsidR="00AF6B6A" w:rsidRDefault="00AF6B6A"/>
    <w:p w14:paraId="47B34DFC" w14:textId="77777777" w:rsidR="00AF6B6A"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11D94D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C389B9"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875B7F"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CDD016"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B49144"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35BD29"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A6B778" w14:textId="77777777" w:rsidR="00AF6B6A" w:rsidRDefault="00000000">
            <w:pPr>
              <w:keepNext/>
              <w:keepLines/>
              <w:spacing w:after="0" w:line="240" w:lineRule="auto"/>
              <w:jc w:val="center"/>
            </w:pPr>
            <w:r>
              <w:rPr>
                <w:b/>
                <w:sz w:val="18"/>
              </w:rPr>
              <w:t>Indeks (%)</w:t>
            </w:r>
          </w:p>
        </w:tc>
      </w:tr>
      <w:tr w:rsidR="00AF6B6A" w14:paraId="1F63DB94" w14:textId="77777777">
        <w:tblPrEx>
          <w:tblCellMar>
            <w:top w:w="0" w:type="dxa"/>
            <w:bottom w:w="0" w:type="dxa"/>
          </w:tblCellMar>
        </w:tblPrEx>
        <w:trPr>
          <w:cantSplit/>
          <w:trHeight w:val="560"/>
        </w:trPr>
        <w:tc>
          <w:tcPr>
            <w:tcW w:w="700" w:type="dxa"/>
            <w:tcMar>
              <w:top w:w="0" w:type="dxa"/>
              <w:bottom w:w="0" w:type="dxa"/>
            </w:tcMar>
            <w:vAlign w:val="center"/>
          </w:tcPr>
          <w:p w14:paraId="588AE885" w14:textId="77777777" w:rsidR="00AF6B6A" w:rsidRDefault="00000000">
            <w:pPr>
              <w:keepNext/>
              <w:keepLines/>
              <w:spacing w:after="0" w:line="240" w:lineRule="auto"/>
            </w:pPr>
            <w:r>
              <w:rPr>
                <w:sz w:val="18"/>
              </w:rPr>
              <w:t>68</w:t>
            </w:r>
          </w:p>
        </w:tc>
        <w:tc>
          <w:tcPr>
            <w:tcW w:w="3180" w:type="dxa"/>
            <w:tcMar>
              <w:top w:w="0" w:type="dxa"/>
              <w:bottom w:w="0" w:type="dxa"/>
            </w:tcMar>
            <w:vAlign w:val="center"/>
          </w:tcPr>
          <w:p w14:paraId="64072CDA" w14:textId="77777777" w:rsidR="00AF6B6A"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02508EAD" w14:textId="77777777" w:rsidR="00AF6B6A" w:rsidRDefault="00000000">
            <w:pPr>
              <w:keepNext/>
              <w:keepLines/>
              <w:spacing w:after="0" w:line="240" w:lineRule="auto"/>
            </w:pPr>
            <w:r>
              <w:rPr>
                <w:sz w:val="18"/>
              </w:rPr>
              <w:t>68</w:t>
            </w:r>
          </w:p>
        </w:tc>
        <w:tc>
          <w:tcPr>
            <w:tcW w:w="1860" w:type="dxa"/>
            <w:tcMar>
              <w:top w:w="0" w:type="dxa"/>
              <w:bottom w:w="0" w:type="dxa"/>
            </w:tcMar>
            <w:vAlign w:val="center"/>
          </w:tcPr>
          <w:p w14:paraId="677E3067" w14:textId="77777777" w:rsidR="00AF6B6A" w:rsidRDefault="00000000">
            <w:pPr>
              <w:keepNext/>
              <w:keepLines/>
              <w:spacing w:after="0" w:line="240" w:lineRule="auto"/>
              <w:jc w:val="right"/>
            </w:pPr>
            <w:r>
              <w:rPr>
                <w:sz w:val="18"/>
              </w:rPr>
              <w:t>175.658,26</w:t>
            </w:r>
          </w:p>
        </w:tc>
        <w:tc>
          <w:tcPr>
            <w:tcW w:w="1860" w:type="dxa"/>
            <w:tcMar>
              <w:top w:w="0" w:type="dxa"/>
              <w:bottom w:w="0" w:type="dxa"/>
            </w:tcMar>
            <w:vAlign w:val="center"/>
          </w:tcPr>
          <w:p w14:paraId="6F13CA0A" w14:textId="77777777" w:rsidR="00AF6B6A" w:rsidRDefault="00000000">
            <w:pPr>
              <w:keepNext/>
              <w:keepLines/>
              <w:spacing w:after="0" w:line="240" w:lineRule="auto"/>
              <w:jc w:val="right"/>
            </w:pPr>
            <w:r>
              <w:rPr>
                <w:sz w:val="18"/>
              </w:rPr>
              <w:t>110.753,00</w:t>
            </w:r>
          </w:p>
        </w:tc>
        <w:tc>
          <w:tcPr>
            <w:tcW w:w="700" w:type="dxa"/>
            <w:tcMar>
              <w:top w:w="0" w:type="dxa"/>
              <w:bottom w:w="0" w:type="dxa"/>
            </w:tcMar>
            <w:vAlign w:val="center"/>
          </w:tcPr>
          <w:p w14:paraId="653AE4AE" w14:textId="77777777" w:rsidR="00AF6B6A" w:rsidRDefault="00000000">
            <w:pPr>
              <w:keepNext/>
              <w:keepLines/>
              <w:spacing w:after="0" w:line="240" w:lineRule="auto"/>
              <w:jc w:val="right"/>
            </w:pPr>
            <w:r>
              <w:rPr>
                <w:sz w:val="18"/>
              </w:rPr>
              <w:t>63,1</w:t>
            </w:r>
          </w:p>
        </w:tc>
      </w:tr>
    </w:tbl>
    <w:p w14:paraId="54EB739D" w14:textId="77777777" w:rsidR="00AF6B6A" w:rsidRDefault="00AF6B6A">
      <w:pPr>
        <w:spacing w:after="0"/>
      </w:pPr>
    </w:p>
    <w:p w14:paraId="67BF2660" w14:textId="77777777" w:rsidR="00AF6B6A" w:rsidRDefault="00000000">
      <w:pPr>
        <w:jc w:val="both"/>
      </w:pPr>
      <w:r>
        <w:lastRenderedPageBreak/>
        <w:t>Kazne, upravne mjere i ostali prihodi (68) iznose 110,753,00 EUR što je 36,9 % manje od 2024.godine. Kazne i upravne mjere (681) ostvarene u iznosu 64.296,61 EUR, a ostali prihodi (683) ostvareni su u iznosu 46,456,39 EUR. </w:t>
      </w:r>
    </w:p>
    <w:p w14:paraId="2B3010A3" w14:textId="77777777" w:rsidR="00AF6B6A" w:rsidRDefault="00AF6B6A"/>
    <w:p w14:paraId="6DFAF5EF" w14:textId="77777777" w:rsidR="00AF6B6A"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795D3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B9BEEB"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DE2932"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DF2541"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A4EA08"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B31051"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85E459" w14:textId="77777777" w:rsidR="00AF6B6A" w:rsidRDefault="00000000">
            <w:pPr>
              <w:keepNext/>
              <w:keepLines/>
              <w:spacing w:after="0" w:line="240" w:lineRule="auto"/>
              <w:jc w:val="center"/>
            </w:pPr>
            <w:r>
              <w:rPr>
                <w:b/>
                <w:sz w:val="18"/>
              </w:rPr>
              <w:t>Indeks (%)</w:t>
            </w:r>
          </w:p>
        </w:tc>
      </w:tr>
      <w:tr w:rsidR="00AF6B6A" w14:paraId="1F170620" w14:textId="77777777">
        <w:tblPrEx>
          <w:tblCellMar>
            <w:top w:w="0" w:type="dxa"/>
            <w:bottom w:w="0" w:type="dxa"/>
          </w:tblCellMar>
        </w:tblPrEx>
        <w:trPr>
          <w:cantSplit/>
          <w:trHeight w:val="560"/>
        </w:trPr>
        <w:tc>
          <w:tcPr>
            <w:tcW w:w="700" w:type="dxa"/>
            <w:tcMar>
              <w:top w:w="0" w:type="dxa"/>
              <w:bottom w:w="0" w:type="dxa"/>
            </w:tcMar>
            <w:vAlign w:val="center"/>
          </w:tcPr>
          <w:p w14:paraId="19E15197" w14:textId="77777777" w:rsidR="00AF6B6A" w:rsidRDefault="00000000">
            <w:pPr>
              <w:keepNext/>
              <w:keepLines/>
              <w:spacing w:after="0" w:line="240" w:lineRule="auto"/>
            </w:pPr>
            <w:r>
              <w:rPr>
                <w:sz w:val="18"/>
              </w:rPr>
              <w:t>3</w:t>
            </w:r>
          </w:p>
        </w:tc>
        <w:tc>
          <w:tcPr>
            <w:tcW w:w="3180" w:type="dxa"/>
            <w:tcMar>
              <w:top w:w="0" w:type="dxa"/>
              <w:bottom w:w="0" w:type="dxa"/>
            </w:tcMar>
            <w:vAlign w:val="center"/>
          </w:tcPr>
          <w:p w14:paraId="7403DC61" w14:textId="77777777" w:rsidR="00AF6B6A"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32A5CDD" w14:textId="77777777" w:rsidR="00AF6B6A" w:rsidRDefault="00000000">
            <w:pPr>
              <w:keepNext/>
              <w:keepLines/>
              <w:spacing w:after="0" w:line="240" w:lineRule="auto"/>
            </w:pPr>
            <w:r>
              <w:rPr>
                <w:sz w:val="18"/>
              </w:rPr>
              <w:t>3</w:t>
            </w:r>
          </w:p>
        </w:tc>
        <w:tc>
          <w:tcPr>
            <w:tcW w:w="1860" w:type="dxa"/>
            <w:tcMar>
              <w:top w:w="0" w:type="dxa"/>
              <w:bottom w:w="0" w:type="dxa"/>
            </w:tcMar>
            <w:vAlign w:val="center"/>
          </w:tcPr>
          <w:p w14:paraId="1B396C38" w14:textId="77777777" w:rsidR="00AF6B6A" w:rsidRDefault="00000000">
            <w:pPr>
              <w:keepNext/>
              <w:keepLines/>
              <w:spacing w:after="0" w:line="240" w:lineRule="auto"/>
              <w:jc w:val="right"/>
            </w:pPr>
            <w:r>
              <w:rPr>
                <w:sz w:val="18"/>
              </w:rPr>
              <w:t>51.615.548,10</w:t>
            </w:r>
          </w:p>
        </w:tc>
        <w:tc>
          <w:tcPr>
            <w:tcW w:w="1860" w:type="dxa"/>
            <w:tcMar>
              <w:top w:w="0" w:type="dxa"/>
              <w:bottom w:w="0" w:type="dxa"/>
            </w:tcMar>
            <w:vAlign w:val="center"/>
          </w:tcPr>
          <w:p w14:paraId="04F96355" w14:textId="77777777" w:rsidR="00AF6B6A" w:rsidRDefault="00000000">
            <w:pPr>
              <w:keepNext/>
              <w:keepLines/>
              <w:spacing w:after="0" w:line="240" w:lineRule="auto"/>
              <w:jc w:val="right"/>
            </w:pPr>
            <w:r>
              <w:rPr>
                <w:sz w:val="18"/>
              </w:rPr>
              <w:t>60.542.306,84</w:t>
            </w:r>
          </w:p>
        </w:tc>
        <w:tc>
          <w:tcPr>
            <w:tcW w:w="700" w:type="dxa"/>
            <w:tcMar>
              <w:top w:w="0" w:type="dxa"/>
              <w:bottom w:w="0" w:type="dxa"/>
            </w:tcMar>
            <w:vAlign w:val="center"/>
          </w:tcPr>
          <w:p w14:paraId="6E647630" w14:textId="77777777" w:rsidR="00AF6B6A" w:rsidRDefault="00000000">
            <w:pPr>
              <w:keepNext/>
              <w:keepLines/>
              <w:spacing w:after="0" w:line="240" w:lineRule="auto"/>
              <w:jc w:val="right"/>
            </w:pPr>
            <w:r>
              <w:rPr>
                <w:sz w:val="18"/>
              </w:rPr>
              <w:t>117,3</w:t>
            </w:r>
          </w:p>
        </w:tc>
      </w:tr>
    </w:tbl>
    <w:p w14:paraId="5152C8AC" w14:textId="77777777" w:rsidR="00AF6B6A" w:rsidRDefault="00AF6B6A">
      <w:pPr>
        <w:spacing w:after="0"/>
      </w:pPr>
    </w:p>
    <w:p w14:paraId="6FE96086" w14:textId="77777777" w:rsidR="00AF6B6A" w:rsidRDefault="00000000">
      <w:pPr>
        <w:jc w:val="both"/>
      </w:pPr>
      <w:r>
        <w:t>Rashodi poslovanja (3)  ostvareni su u ukupnom iznosu od 60.542.306,84 EUR što je 17,3% više u odnosu na 2024. godinu.</w:t>
      </w:r>
    </w:p>
    <w:p w14:paraId="6728E00D" w14:textId="77777777" w:rsidR="00AF6B6A" w:rsidRDefault="00AF6B6A"/>
    <w:p w14:paraId="262837CE" w14:textId="77777777" w:rsidR="00AF6B6A"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3ACC6F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F18E95"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F7E58A"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2D98E7"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4FB17B"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58942C"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3949AF" w14:textId="77777777" w:rsidR="00AF6B6A" w:rsidRDefault="00000000">
            <w:pPr>
              <w:keepNext/>
              <w:keepLines/>
              <w:spacing w:after="0" w:line="240" w:lineRule="auto"/>
              <w:jc w:val="center"/>
            </w:pPr>
            <w:r>
              <w:rPr>
                <w:b/>
                <w:sz w:val="18"/>
              </w:rPr>
              <w:t>Indeks (%)</w:t>
            </w:r>
          </w:p>
        </w:tc>
      </w:tr>
      <w:tr w:rsidR="00AF6B6A" w14:paraId="24F486A0" w14:textId="77777777">
        <w:tblPrEx>
          <w:tblCellMar>
            <w:top w:w="0" w:type="dxa"/>
            <w:bottom w:w="0" w:type="dxa"/>
          </w:tblCellMar>
        </w:tblPrEx>
        <w:trPr>
          <w:cantSplit/>
          <w:trHeight w:val="560"/>
        </w:trPr>
        <w:tc>
          <w:tcPr>
            <w:tcW w:w="700" w:type="dxa"/>
            <w:tcMar>
              <w:top w:w="0" w:type="dxa"/>
              <w:bottom w:w="0" w:type="dxa"/>
            </w:tcMar>
            <w:vAlign w:val="center"/>
          </w:tcPr>
          <w:p w14:paraId="4FCD3391" w14:textId="77777777" w:rsidR="00AF6B6A" w:rsidRDefault="00000000">
            <w:pPr>
              <w:keepNext/>
              <w:keepLines/>
              <w:spacing w:after="0" w:line="240" w:lineRule="auto"/>
            </w:pPr>
            <w:r>
              <w:rPr>
                <w:sz w:val="18"/>
              </w:rPr>
              <w:t>31</w:t>
            </w:r>
          </w:p>
        </w:tc>
        <w:tc>
          <w:tcPr>
            <w:tcW w:w="3180" w:type="dxa"/>
            <w:tcMar>
              <w:top w:w="0" w:type="dxa"/>
              <w:bottom w:w="0" w:type="dxa"/>
            </w:tcMar>
            <w:vAlign w:val="center"/>
          </w:tcPr>
          <w:p w14:paraId="0E402675" w14:textId="77777777" w:rsidR="00AF6B6A"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4E1015BE" w14:textId="77777777" w:rsidR="00AF6B6A" w:rsidRDefault="00000000">
            <w:pPr>
              <w:keepNext/>
              <w:keepLines/>
              <w:spacing w:after="0" w:line="240" w:lineRule="auto"/>
            </w:pPr>
            <w:r>
              <w:rPr>
                <w:sz w:val="18"/>
              </w:rPr>
              <w:t>31</w:t>
            </w:r>
          </w:p>
        </w:tc>
        <w:tc>
          <w:tcPr>
            <w:tcW w:w="1860" w:type="dxa"/>
            <w:tcMar>
              <w:top w:w="0" w:type="dxa"/>
              <w:bottom w:w="0" w:type="dxa"/>
            </w:tcMar>
            <w:vAlign w:val="center"/>
          </w:tcPr>
          <w:p w14:paraId="5A1EFF8D" w14:textId="77777777" w:rsidR="00AF6B6A" w:rsidRDefault="00000000">
            <w:pPr>
              <w:keepNext/>
              <w:keepLines/>
              <w:spacing w:after="0" w:line="240" w:lineRule="auto"/>
              <w:jc w:val="right"/>
            </w:pPr>
            <w:r>
              <w:rPr>
                <w:sz w:val="18"/>
              </w:rPr>
              <w:t>3.836.997,27</w:t>
            </w:r>
          </w:p>
        </w:tc>
        <w:tc>
          <w:tcPr>
            <w:tcW w:w="1860" w:type="dxa"/>
            <w:tcMar>
              <w:top w:w="0" w:type="dxa"/>
              <w:bottom w:w="0" w:type="dxa"/>
            </w:tcMar>
            <w:vAlign w:val="center"/>
          </w:tcPr>
          <w:p w14:paraId="723EA2C8" w14:textId="77777777" w:rsidR="00AF6B6A" w:rsidRDefault="00000000">
            <w:pPr>
              <w:keepNext/>
              <w:keepLines/>
              <w:spacing w:after="0" w:line="240" w:lineRule="auto"/>
              <w:jc w:val="right"/>
            </w:pPr>
            <w:r>
              <w:rPr>
                <w:sz w:val="18"/>
              </w:rPr>
              <w:t>4.488.011,66</w:t>
            </w:r>
          </w:p>
        </w:tc>
        <w:tc>
          <w:tcPr>
            <w:tcW w:w="700" w:type="dxa"/>
            <w:tcMar>
              <w:top w:w="0" w:type="dxa"/>
              <w:bottom w:w="0" w:type="dxa"/>
            </w:tcMar>
            <w:vAlign w:val="center"/>
          </w:tcPr>
          <w:p w14:paraId="67F7B556" w14:textId="77777777" w:rsidR="00AF6B6A" w:rsidRDefault="00000000">
            <w:pPr>
              <w:keepNext/>
              <w:keepLines/>
              <w:spacing w:after="0" w:line="240" w:lineRule="auto"/>
              <w:jc w:val="right"/>
            </w:pPr>
            <w:r>
              <w:rPr>
                <w:sz w:val="18"/>
              </w:rPr>
              <w:t>117,0</w:t>
            </w:r>
          </w:p>
        </w:tc>
      </w:tr>
    </w:tbl>
    <w:p w14:paraId="53DD6E8F" w14:textId="77777777" w:rsidR="00AF6B6A" w:rsidRDefault="00AF6B6A">
      <w:pPr>
        <w:spacing w:after="0"/>
      </w:pPr>
    </w:p>
    <w:p w14:paraId="70E733E5" w14:textId="77777777" w:rsidR="00AF6B6A" w:rsidRDefault="00000000">
      <w:pPr>
        <w:jc w:val="both"/>
      </w:pPr>
      <w:r>
        <w:t>Rashodi za zaposlene (31) ostvareni su u iznosu 4.488.011,66 EUR ili 17 % više u odnosu na 2024. godinu. Obuhvaćaju Plaće (311), Ostale rashode za zaposlene (312) i doprinose na plaće u gradskoj upravi (313). Povećane su plaće za 16,7%, Ostali rashodi za zaposlene povećani su za 16,8% (otpremnine, naknade za bolest i smrtni slučaj, povećanje naknade za troškove prehrane) te doprinosi za obvezno zdravstveno osiguranje 18,5% povećanje. U toku 2025. godine povećala se osnovica za obračun plaće u dva navrata, pa iz toga proizlazi razlika u odnosu na prošlo razdoblje.</w:t>
      </w:r>
    </w:p>
    <w:p w14:paraId="70BED11F" w14:textId="77777777" w:rsidR="00AF6B6A" w:rsidRDefault="00AF6B6A"/>
    <w:p w14:paraId="6369990E" w14:textId="77777777" w:rsidR="00AF6B6A"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28C41B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21A598"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DAAD8E"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410BA9"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691B86"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51C850"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7E565E" w14:textId="77777777" w:rsidR="00AF6B6A" w:rsidRDefault="00000000">
            <w:pPr>
              <w:keepNext/>
              <w:keepLines/>
              <w:spacing w:after="0" w:line="240" w:lineRule="auto"/>
              <w:jc w:val="center"/>
            </w:pPr>
            <w:r>
              <w:rPr>
                <w:b/>
                <w:sz w:val="18"/>
              </w:rPr>
              <w:t>Indeks (%)</w:t>
            </w:r>
          </w:p>
        </w:tc>
      </w:tr>
      <w:tr w:rsidR="00AF6B6A" w14:paraId="138AC53F" w14:textId="77777777">
        <w:tblPrEx>
          <w:tblCellMar>
            <w:top w:w="0" w:type="dxa"/>
            <w:bottom w:w="0" w:type="dxa"/>
          </w:tblCellMar>
        </w:tblPrEx>
        <w:trPr>
          <w:cantSplit/>
          <w:trHeight w:val="560"/>
        </w:trPr>
        <w:tc>
          <w:tcPr>
            <w:tcW w:w="700" w:type="dxa"/>
            <w:tcMar>
              <w:top w:w="0" w:type="dxa"/>
              <w:bottom w:w="0" w:type="dxa"/>
            </w:tcMar>
            <w:vAlign w:val="center"/>
          </w:tcPr>
          <w:p w14:paraId="0661F466" w14:textId="77777777" w:rsidR="00AF6B6A" w:rsidRDefault="00000000">
            <w:pPr>
              <w:keepNext/>
              <w:keepLines/>
              <w:spacing w:after="0" w:line="240" w:lineRule="auto"/>
            </w:pPr>
            <w:r>
              <w:rPr>
                <w:sz w:val="18"/>
              </w:rPr>
              <w:t>312</w:t>
            </w:r>
          </w:p>
        </w:tc>
        <w:tc>
          <w:tcPr>
            <w:tcW w:w="3180" w:type="dxa"/>
            <w:tcMar>
              <w:top w:w="0" w:type="dxa"/>
              <w:bottom w:w="0" w:type="dxa"/>
            </w:tcMar>
            <w:vAlign w:val="center"/>
          </w:tcPr>
          <w:p w14:paraId="76E9B06A" w14:textId="77777777" w:rsidR="00AF6B6A"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7E21B7A8" w14:textId="77777777" w:rsidR="00AF6B6A" w:rsidRDefault="00000000">
            <w:pPr>
              <w:keepNext/>
              <w:keepLines/>
              <w:spacing w:after="0" w:line="240" w:lineRule="auto"/>
            </w:pPr>
            <w:r>
              <w:rPr>
                <w:sz w:val="18"/>
              </w:rPr>
              <w:t>312</w:t>
            </w:r>
          </w:p>
        </w:tc>
        <w:tc>
          <w:tcPr>
            <w:tcW w:w="1860" w:type="dxa"/>
            <w:tcMar>
              <w:top w:w="0" w:type="dxa"/>
              <w:bottom w:w="0" w:type="dxa"/>
            </w:tcMar>
            <w:vAlign w:val="center"/>
          </w:tcPr>
          <w:p w14:paraId="6E8FB09F" w14:textId="77777777" w:rsidR="00AF6B6A" w:rsidRDefault="00000000">
            <w:pPr>
              <w:keepNext/>
              <w:keepLines/>
              <w:spacing w:after="0" w:line="240" w:lineRule="auto"/>
              <w:jc w:val="right"/>
            </w:pPr>
            <w:r>
              <w:rPr>
                <w:sz w:val="18"/>
              </w:rPr>
              <w:t>353.375,81</w:t>
            </w:r>
          </w:p>
        </w:tc>
        <w:tc>
          <w:tcPr>
            <w:tcW w:w="1860" w:type="dxa"/>
            <w:tcMar>
              <w:top w:w="0" w:type="dxa"/>
              <w:bottom w:w="0" w:type="dxa"/>
            </w:tcMar>
            <w:vAlign w:val="center"/>
          </w:tcPr>
          <w:p w14:paraId="1977C910" w14:textId="77777777" w:rsidR="00AF6B6A" w:rsidRDefault="00000000">
            <w:pPr>
              <w:keepNext/>
              <w:keepLines/>
              <w:spacing w:after="0" w:line="240" w:lineRule="auto"/>
              <w:jc w:val="right"/>
            </w:pPr>
            <w:r>
              <w:rPr>
                <w:sz w:val="18"/>
              </w:rPr>
              <w:t>412.650,96</w:t>
            </w:r>
          </w:p>
        </w:tc>
        <w:tc>
          <w:tcPr>
            <w:tcW w:w="700" w:type="dxa"/>
            <w:tcMar>
              <w:top w:w="0" w:type="dxa"/>
              <w:bottom w:w="0" w:type="dxa"/>
            </w:tcMar>
            <w:vAlign w:val="center"/>
          </w:tcPr>
          <w:p w14:paraId="236923AF" w14:textId="77777777" w:rsidR="00AF6B6A" w:rsidRDefault="00000000">
            <w:pPr>
              <w:keepNext/>
              <w:keepLines/>
              <w:spacing w:after="0" w:line="240" w:lineRule="auto"/>
              <w:jc w:val="right"/>
            </w:pPr>
            <w:r>
              <w:rPr>
                <w:sz w:val="18"/>
              </w:rPr>
              <w:t>116,8</w:t>
            </w:r>
          </w:p>
        </w:tc>
      </w:tr>
    </w:tbl>
    <w:p w14:paraId="4DBDBF1A" w14:textId="77777777" w:rsidR="00AF6B6A" w:rsidRDefault="00AF6B6A">
      <w:pPr>
        <w:spacing w:after="0"/>
      </w:pPr>
    </w:p>
    <w:p w14:paraId="035931A6" w14:textId="77777777" w:rsidR="00AF6B6A" w:rsidRDefault="00000000">
      <w:pPr>
        <w:jc w:val="both"/>
      </w:pPr>
      <w:r>
        <w:t>Ostali rashodi za zaposlene (312) povećani su u odnosu na prethodno razdoblje zbog većeg broja isplata pomoći u slučaju bolovanja dužeg od 90 dana te zbog isplaćenih potpora za smrtni slučaj člana uže obitelji. Također, u ovoj godini isplaćene su otpremnine za 6 djelatnika koji su otišli u mirovinu. </w:t>
      </w:r>
    </w:p>
    <w:p w14:paraId="0FD261AF" w14:textId="77777777" w:rsidR="00AF6B6A" w:rsidRDefault="00AF6B6A"/>
    <w:p w14:paraId="14FA28C7" w14:textId="77777777" w:rsidR="00AF6B6A" w:rsidRDefault="00000000">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64E807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FB2897"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5121F0"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8FE268"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ED9109"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E1FDA2"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CBF0F8" w14:textId="77777777" w:rsidR="00AF6B6A" w:rsidRDefault="00000000">
            <w:pPr>
              <w:keepNext/>
              <w:keepLines/>
              <w:spacing w:after="0" w:line="240" w:lineRule="auto"/>
              <w:jc w:val="center"/>
            </w:pPr>
            <w:r>
              <w:rPr>
                <w:b/>
                <w:sz w:val="18"/>
              </w:rPr>
              <w:t>Indeks (%)</w:t>
            </w:r>
          </w:p>
        </w:tc>
      </w:tr>
      <w:tr w:rsidR="00AF6B6A" w14:paraId="10F537BD" w14:textId="77777777">
        <w:tblPrEx>
          <w:tblCellMar>
            <w:top w:w="0" w:type="dxa"/>
            <w:bottom w:w="0" w:type="dxa"/>
          </w:tblCellMar>
        </w:tblPrEx>
        <w:trPr>
          <w:cantSplit/>
          <w:trHeight w:val="560"/>
        </w:trPr>
        <w:tc>
          <w:tcPr>
            <w:tcW w:w="700" w:type="dxa"/>
            <w:tcMar>
              <w:top w:w="0" w:type="dxa"/>
              <w:bottom w:w="0" w:type="dxa"/>
            </w:tcMar>
            <w:vAlign w:val="center"/>
          </w:tcPr>
          <w:p w14:paraId="347A55EE" w14:textId="77777777" w:rsidR="00AF6B6A" w:rsidRDefault="00000000">
            <w:pPr>
              <w:keepNext/>
              <w:keepLines/>
              <w:spacing w:after="0" w:line="240" w:lineRule="auto"/>
            </w:pPr>
            <w:r>
              <w:rPr>
                <w:sz w:val="18"/>
              </w:rPr>
              <w:t>313</w:t>
            </w:r>
          </w:p>
        </w:tc>
        <w:tc>
          <w:tcPr>
            <w:tcW w:w="3180" w:type="dxa"/>
            <w:tcMar>
              <w:top w:w="0" w:type="dxa"/>
              <w:bottom w:w="0" w:type="dxa"/>
            </w:tcMar>
            <w:vAlign w:val="center"/>
          </w:tcPr>
          <w:p w14:paraId="543F6825" w14:textId="77777777" w:rsidR="00AF6B6A"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1F8B47BB" w14:textId="77777777" w:rsidR="00AF6B6A" w:rsidRDefault="00000000">
            <w:pPr>
              <w:keepNext/>
              <w:keepLines/>
              <w:spacing w:after="0" w:line="240" w:lineRule="auto"/>
            </w:pPr>
            <w:r>
              <w:rPr>
                <w:sz w:val="18"/>
              </w:rPr>
              <w:t>313</w:t>
            </w:r>
          </w:p>
        </w:tc>
        <w:tc>
          <w:tcPr>
            <w:tcW w:w="1860" w:type="dxa"/>
            <w:tcMar>
              <w:top w:w="0" w:type="dxa"/>
              <w:bottom w:w="0" w:type="dxa"/>
            </w:tcMar>
            <w:vAlign w:val="center"/>
          </w:tcPr>
          <w:p w14:paraId="3D4BA72D" w14:textId="77777777" w:rsidR="00AF6B6A" w:rsidRDefault="00000000">
            <w:pPr>
              <w:keepNext/>
              <w:keepLines/>
              <w:spacing w:after="0" w:line="240" w:lineRule="auto"/>
              <w:jc w:val="right"/>
            </w:pPr>
            <w:r>
              <w:rPr>
                <w:sz w:val="18"/>
              </w:rPr>
              <w:t>483.837,00</w:t>
            </w:r>
          </w:p>
        </w:tc>
        <w:tc>
          <w:tcPr>
            <w:tcW w:w="1860" w:type="dxa"/>
            <w:tcMar>
              <w:top w:w="0" w:type="dxa"/>
              <w:bottom w:w="0" w:type="dxa"/>
            </w:tcMar>
            <w:vAlign w:val="center"/>
          </w:tcPr>
          <w:p w14:paraId="1A5945D0" w14:textId="77777777" w:rsidR="00AF6B6A" w:rsidRDefault="00000000">
            <w:pPr>
              <w:keepNext/>
              <w:keepLines/>
              <w:spacing w:after="0" w:line="240" w:lineRule="auto"/>
              <w:jc w:val="right"/>
            </w:pPr>
            <w:r>
              <w:rPr>
                <w:sz w:val="18"/>
              </w:rPr>
              <w:t>573.545,65</w:t>
            </w:r>
          </w:p>
        </w:tc>
        <w:tc>
          <w:tcPr>
            <w:tcW w:w="700" w:type="dxa"/>
            <w:tcMar>
              <w:top w:w="0" w:type="dxa"/>
              <w:bottom w:w="0" w:type="dxa"/>
            </w:tcMar>
            <w:vAlign w:val="center"/>
          </w:tcPr>
          <w:p w14:paraId="6DD7F595" w14:textId="77777777" w:rsidR="00AF6B6A" w:rsidRDefault="00000000">
            <w:pPr>
              <w:keepNext/>
              <w:keepLines/>
              <w:spacing w:after="0" w:line="240" w:lineRule="auto"/>
              <w:jc w:val="right"/>
            </w:pPr>
            <w:r>
              <w:rPr>
                <w:sz w:val="18"/>
              </w:rPr>
              <w:t>118,5</w:t>
            </w:r>
          </w:p>
        </w:tc>
      </w:tr>
    </w:tbl>
    <w:p w14:paraId="2A6802A3" w14:textId="77777777" w:rsidR="00AF6B6A" w:rsidRDefault="00AF6B6A">
      <w:pPr>
        <w:spacing w:after="0"/>
      </w:pPr>
    </w:p>
    <w:p w14:paraId="7339EACC" w14:textId="77777777" w:rsidR="00AF6B6A" w:rsidRDefault="00000000">
      <w:pPr>
        <w:jc w:val="both"/>
      </w:pPr>
      <w:r>
        <w:t>Doprinosi na plaće (313) povećani su zbog povećanja osnovice plaće pa se samim time povećavaju i doprinosi na plaće.</w:t>
      </w:r>
    </w:p>
    <w:p w14:paraId="0FF18E2C" w14:textId="77777777" w:rsidR="00AF6B6A" w:rsidRDefault="00AF6B6A"/>
    <w:p w14:paraId="40E7DD6A" w14:textId="77777777" w:rsidR="00AF6B6A"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7583E5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260486"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885A6D"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01E7F4"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2C6C1B"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3C3A60"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984460" w14:textId="77777777" w:rsidR="00AF6B6A" w:rsidRDefault="00000000">
            <w:pPr>
              <w:keepNext/>
              <w:keepLines/>
              <w:spacing w:after="0" w:line="240" w:lineRule="auto"/>
              <w:jc w:val="center"/>
            </w:pPr>
            <w:r>
              <w:rPr>
                <w:b/>
                <w:sz w:val="18"/>
              </w:rPr>
              <w:t>Indeks (%)</w:t>
            </w:r>
          </w:p>
        </w:tc>
      </w:tr>
      <w:tr w:rsidR="00AF6B6A" w14:paraId="3A301052" w14:textId="77777777">
        <w:tblPrEx>
          <w:tblCellMar>
            <w:top w:w="0" w:type="dxa"/>
            <w:bottom w:w="0" w:type="dxa"/>
          </w:tblCellMar>
        </w:tblPrEx>
        <w:trPr>
          <w:cantSplit/>
          <w:trHeight w:val="560"/>
        </w:trPr>
        <w:tc>
          <w:tcPr>
            <w:tcW w:w="700" w:type="dxa"/>
            <w:tcMar>
              <w:top w:w="0" w:type="dxa"/>
              <w:bottom w:w="0" w:type="dxa"/>
            </w:tcMar>
            <w:vAlign w:val="center"/>
          </w:tcPr>
          <w:p w14:paraId="601B60A5" w14:textId="77777777" w:rsidR="00AF6B6A" w:rsidRDefault="00000000">
            <w:pPr>
              <w:keepNext/>
              <w:keepLines/>
              <w:spacing w:after="0" w:line="240" w:lineRule="auto"/>
            </w:pPr>
            <w:r>
              <w:rPr>
                <w:sz w:val="18"/>
              </w:rPr>
              <w:t>32</w:t>
            </w:r>
          </w:p>
        </w:tc>
        <w:tc>
          <w:tcPr>
            <w:tcW w:w="3180" w:type="dxa"/>
            <w:tcMar>
              <w:top w:w="0" w:type="dxa"/>
              <w:bottom w:w="0" w:type="dxa"/>
            </w:tcMar>
            <w:vAlign w:val="center"/>
          </w:tcPr>
          <w:p w14:paraId="15578145" w14:textId="77777777" w:rsidR="00AF6B6A"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5906FA0C" w14:textId="77777777" w:rsidR="00AF6B6A" w:rsidRDefault="00000000">
            <w:pPr>
              <w:keepNext/>
              <w:keepLines/>
              <w:spacing w:after="0" w:line="240" w:lineRule="auto"/>
            </w:pPr>
            <w:r>
              <w:rPr>
                <w:sz w:val="18"/>
              </w:rPr>
              <w:t>32</w:t>
            </w:r>
          </w:p>
        </w:tc>
        <w:tc>
          <w:tcPr>
            <w:tcW w:w="1860" w:type="dxa"/>
            <w:tcMar>
              <w:top w:w="0" w:type="dxa"/>
              <w:bottom w:w="0" w:type="dxa"/>
            </w:tcMar>
            <w:vAlign w:val="center"/>
          </w:tcPr>
          <w:p w14:paraId="7BB39139" w14:textId="77777777" w:rsidR="00AF6B6A" w:rsidRDefault="00000000">
            <w:pPr>
              <w:keepNext/>
              <w:keepLines/>
              <w:spacing w:after="0" w:line="240" w:lineRule="auto"/>
              <w:jc w:val="right"/>
            </w:pPr>
            <w:r>
              <w:rPr>
                <w:sz w:val="18"/>
              </w:rPr>
              <w:t>18.889.301,31</w:t>
            </w:r>
          </w:p>
        </w:tc>
        <w:tc>
          <w:tcPr>
            <w:tcW w:w="1860" w:type="dxa"/>
            <w:tcMar>
              <w:top w:w="0" w:type="dxa"/>
              <w:bottom w:w="0" w:type="dxa"/>
            </w:tcMar>
            <w:vAlign w:val="center"/>
          </w:tcPr>
          <w:p w14:paraId="32D72301" w14:textId="77777777" w:rsidR="00AF6B6A" w:rsidRDefault="00000000">
            <w:pPr>
              <w:keepNext/>
              <w:keepLines/>
              <w:spacing w:after="0" w:line="240" w:lineRule="auto"/>
              <w:jc w:val="right"/>
            </w:pPr>
            <w:r>
              <w:rPr>
                <w:sz w:val="18"/>
              </w:rPr>
              <w:t>18.618.773,61</w:t>
            </w:r>
          </w:p>
        </w:tc>
        <w:tc>
          <w:tcPr>
            <w:tcW w:w="700" w:type="dxa"/>
            <w:tcMar>
              <w:top w:w="0" w:type="dxa"/>
              <w:bottom w:w="0" w:type="dxa"/>
            </w:tcMar>
            <w:vAlign w:val="center"/>
          </w:tcPr>
          <w:p w14:paraId="0266BB67" w14:textId="77777777" w:rsidR="00AF6B6A" w:rsidRDefault="00000000">
            <w:pPr>
              <w:keepNext/>
              <w:keepLines/>
              <w:spacing w:after="0" w:line="240" w:lineRule="auto"/>
              <w:jc w:val="right"/>
            </w:pPr>
            <w:r>
              <w:rPr>
                <w:sz w:val="18"/>
              </w:rPr>
              <w:t>98,6</w:t>
            </w:r>
          </w:p>
        </w:tc>
      </w:tr>
    </w:tbl>
    <w:p w14:paraId="60EEF294" w14:textId="77777777" w:rsidR="00AF6B6A" w:rsidRDefault="00AF6B6A">
      <w:pPr>
        <w:spacing w:after="0"/>
      </w:pPr>
    </w:p>
    <w:p w14:paraId="49DD11F9" w14:textId="77777777" w:rsidR="00AF6B6A" w:rsidRDefault="00000000">
      <w:pPr>
        <w:jc w:val="both"/>
      </w:pPr>
      <w:r>
        <w:t>Materijalni rashodi  (32) ostvareni su u iznosu 18.618.773,61  EUR, manji su za 1,4% u odnosu na 2024. godinu. Odnose se na rashode za redovno poslovanje i rashode za izvršavanje programskih aktivnosti Grada Varaždina. </w:t>
      </w:r>
    </w:p>
    <w:p w14:paraId="4107611D" w14:textId="77777777" w:rsidR="00AF6B6A" w:rsidRDefault="00AF6B6A"/>
    <w:p w14:paraId="53255F57" w14:textId="77777777" w:rsidR="00AF6B6A"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A4662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C76339"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365AA7"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405D15"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3FD31C"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92A2E6"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804791" w14:textId="77777777" w:rsidR="00AF6B6A" w:rsidRDefault="00000000">
            <w:pPr>
              <w:keepNext/>
              <w:keepLines/>
              <w:spacing w:after="0" w:line="240" w:lineRule="auto"/>
              <w:jc w:val="center"/>
            </w:pPr>
            <w:r>
              <w:rPr>
                <w:b/>
                <w:sz w:val="18"/>
              </w:rPr>
              <w:t>Indeks (%)</w:t>
            </w:r>
          </w:p>
        </w:tc>
      </w:tr>
      <w:tr w:rsidR="00AF6B6A" w14:paraId="475E9EB5" w14:textId="77777777">
        <w:tblPrEx>
          <w:tblCellMar>
            <w:top w:w="0" w:type="dxa"/>
            <w:bottom w:w="0" w:type="dxa"/>
          </w:tblCellMar>
        </w:tblPrEx>
        <w:trPr>
          <w:cantSplit/>
          <w:trHeight w:val="560"/>
        </w:trPr>
        <w:tc>
          <w:tcPr>
            <w:tcW w:w="700" w:type="dxa"/>
            <w:tcMar>
              <w:top w:w="0" w:type="dxa"/>
              <w:bottom w:w="0" w:type="dxa"/>
            </w:tcMar>
            <w:vAlign w:val="center"/>
          </w:tcPr>
          <w:p w14:paraId="4946B710" w14:textId="77777777" w:rsidR="00AF6B6A" w:rsidRDefault="00000000">
            <w:pPr>
              <w:keepNext/>
              <w:keepLines/>
              <w:spacing w:after="0" w:line="240" w:lineRule="auto"/>
            </w:pPr>
            <w:r>
              <w:rPr>
                <w:sz w:val="18"/>
              </w:rPr>
              <w:t>321</w:t>
            </w:r>
          </w:p>
        </w:tc>
        <w:tc>
          <w:tcPr>
            <w:tcW w:w="3180" w:type="dxa"/>
            <w:tcMar>
              <w:top w:w="0" w:type="dxa"/>
              <w:bottom w:w="0" w:type="dxa"/>
            </w:tcMar>
            <w:vAlign w:val="center"/>
          </w:tcPr>
          <w:p w14:paraId="38E9C8D0" w14:textId="77777777" w:rsidR="00AF6B6A"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7BC9B1E5" w14:textId="77777777" w:rsidR="00AF6B6A" w:rsidRDefault="00000000">
            <w:pPr>
              <w:keepNext/>
              <w:keepLines/>
              <w:spacing w:after="0" w:line="240" w:lineRule="auto"/>
            </w:pPr>
            <w:r>
              <w:rPr>
                <w:sz w:val="18"/>
              </w:rPr>
              <w:t>321</w:t>
            </w:r>
          </w:p>
        </w:tc>
        <w:tc>
          <w:tcPr>
            <w:tcW w:w="1860" w:type="dxa"/>
            <w:tcMar>
              <w:top w:w="0" w:type="dxa"/>
              <w:bottom w:w="0" w:type="dxa"/>
            </w:tcMar>
            <w:vAlign w:val="center"/>
          </w:tcPr>
          <w:p w14:paraId="03BA9256" w14:textId="77777777" w:rsidR="00AF6B6A" w:rsidRDefault="00000000">
            <w:pPr>
              <w:keepNext/>
              <w:keepLines/>
              <w:spacing w:after="0" w:line="240" w:lineRule="auto"/>
              <w:jc w:val="right"/>
            </w:pPr>
            <w:r>
              <w:rPr>
                <w:sz w:val="18"/>
              </w:rPr>
              <w:t>108.361,81</w:t>
            </w:r>
          </w:p>
        </w:tc>
        <w:tc>
          <w:tcPr>
            <w:tcW w:w="1860" w:type="dxa"/>
            <w:tcMar>
              <w:top w:w="0" w:type="dxa"/>
              <w:bottom w:w="0" w:type="dxa"/>
            </w:tcMar>
            <w:vAlign w:val="center"/>
          </w:tcPr>
          <w:p w14:paraId="278C8F56" w14:textId="77777777" w:rsidR="00AF6B6A" w:rsidRDefault="00000000">
            <w:pPr>
              <w:keepNext/>
              <w:keepLines/>
              <w:spacing w:after="0" w:line="240" w:lineRule="auto"/>
              <w:jc w:val="right"/>
            </w:pPr>
            <w:r>
              <w:rPr>
                <w:sz w:val="18"/>
              </w:rPr>
              <w:t>138.817,68</w:t>
            </w:r>
          </w:p>
        </w:tc>
        <w:tc>
          <w:tcPr>
            <w:tcW w:w="700" w:type="dxa"/>
            <w:tcMar>
              <w:top w:w="0" w:type="dxa"/>
              <w:bottom w:w="0" w:type="dxa"/>
            </w:tcMar>
            <w:vAlign w:val="center"/>
          </w:tcPr>
          <w:p w14:paraId="5663A285" w14:textId="77777777" w:rsidR="00AF6B6A" w:rsidRDefault="00000000">
            <w:pPr>
              <w:keepNext/>
              <w:keepLines/>
              <w:spacing w:after="0" w:line="240" w:lineRule="auto"/>
              <w:jc w:val="right"/>
            </w:pPr>
            <w:r>
              <w:rPr>
                <w:sz w:val="18"/>
              </w:rPr>
              <w:t>128,1</w:t>
            </w:r>
          </w:p>
        </w:tc>
      </w:tr>
    </w:tbl>
    <w:p w14:paraId="13FB7028" w14:textId="77777777" w:rsidR="00AF6B6A" w:rsidRDefault="00AF6B6A">
      <w:pPr>
        <w:spacing w:after="0"/>
      </w:pPr>
    </w:p>
    <w:p w14:paraId="300A5F50" w14:textId="77777777" w:rsidR="00AF6B6A" w:rsidRDefault="00000000">
      <w:pPr>
        <w:jc w:val="both"/>
      </w:pPr>
      <w:r>
        <w:t>Naknade troškova zaposlenima (321)  izvršene su u iznosu od 138.817,68 EUR i veće su za 28,1% u odnosu na 2024. godinu, od čega su rashodi za službena putovanja veći  za 50,7%, za stručno usavršavanje za 21,5%, naknade za prijevoz, rad na terenu i odvojeni život za 17,3% dok su ostale naknade zaposlenima manje za 43,8%.</w:t>
      </w:r>
    </w:p>
    <w:p w14:paraId="18F73D0F" w14:textId="77777777" w:rsidR="00AF6B6A" w:rsidRDefault="00AF6B6A"/>
    <w:p w14:paraId="5FEE1661" w14:textId="77777777" w:rsidR="00AF6B6A"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6C0EAA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DD6E57"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DED70D"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ECC039"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9734E2"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D48457"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E5C6F6" w14:textId="77777777" w:rsidR="00AF6B6A" w:rsidRDefault="00000000">
            <w:pPr>
              <w:keepNext/>
              <w:keepLines/>
              <w:spacing w:after="0" w:line="240" w:lineRule="auto"/>
              <w:jc w:val="center"/>
            </w:pPr>
            <w:r>
              <w:rPr>
                <w:b/>
                <w:sz w:val="18"/>
              </w:rPr>
              <w:t>Indeks (%)</w:t>
            </w:r>
          </w:p>
        </w:tc>
      </w:tr>
      <w:tr w:rsidR="00AF6B6A" w14:paraId="2856D6A6" w14:textId="77777777">
        <w:tblPrEx>
          <w:tblCellMar>
            <w:top w:w="0" w:type="dxa"/>
            <w:bottom w:w="0" w:type="dxa"/>
          </w:tblCellMar>
        </w:tblPrEx>
        <w:trPr>
          <w:cantSplit/>
          <w:trHeight w:val="560"/>
        </w:trPr>
        <w:tc>
          <w:tcPr>
            <w:tcW w:w="700" w:type="dxa"/>
            <w:tcMar>
              <w:top w:w="0" w:type="dxa"/>
              <w:bottom w:w="0" w:type="dxa"/>
            </w:tcMar>
            <w:vAlign w:val="center"/>
          </w:tcPr>
          <w:p w14:paraId="099CABA7" w14:textId="77777777" w:rsidR="00AF6B6A" w:rsidRDefault="00000000">
            <w:pPr>
              <w:keepNext/>
              <w:keepLines/>
              <w:spacing w:after="0" w:line="240" w:lineRule="auto"/>
            </w:pPr>
            <w:r>
              <w:rPr>
                <w:sz w:val="18"/>
              </w:rPr>
              <w:t>3211</w:t>
            </w:r>
          </w:p>
        </w:tc>
        <w:tc>
          <w:tcPr>
            <w:tcW w:w="3180" w:type="dxa"/>
            <w:tcMar>
              <w:top w:w="0" w:type="dxa"/>
              <w:bottom w:w="0" w:type="dxa"/>
            </w:tcMar>
            <w:vAlign w:val="center"/>
          </w:tcPr>
          <w:p w14:paraId="5A71DDA3" w14:textId="77777777" w:rsidR="00AF6B6A" w:rsidRDefault="00000000">
            <w:pPr>
              <w:keepNext/>
              <w:keepLines/>
              <w:spacing w:after="0" w:line="240" w:lineRule="auto"/>
            </w:pPr>
            <w:r>
              <w:rPr>
                <w:sz w:val="18"/>
              </w:rPr>
              <w:t>Službena putovanja</w:t>
            </w:r>
          </w:p>
        </w:tc>
        <w:tc>
          <w:tcPr>
            <w:tcW w:w="700" w:type="dxa"/>
            <w:tcMar>
              <w:top w:w="0" w:type="dxa"/>
              <w:bottom w:w="0" w:type="dxa"/>
            </w:tcMar>
            <w:vAlign w:val="center"/>
          </w:tcPr>
          <w:p w14:paraId="5D50AA5A" w14:textId="77777777" w:rsidR="00AF6B6A" w:rsidRDefault="00000000">
            <w:pPr>
              <w:keepNext/>
              <w:keepLines/>
              <w:spacing w:after="0" w:line="240" w:lineRule="auto"/>
            </w:pPr>
            <w:r>
              <w:rPr>
                <w:sz w:val="18"/>
              </w:rPr>
              <w:t>3211</w:t>
            </w:r>
          </w:p>
        </w:tc>
        <w:tc>
          <w:tcPr>
            <w:tcW w:w="1860" w:type="dxa"/>
            <w:tcMar>
              <w:top w:w="0" w:type="dxa"/>
              <w:bottom w:w="0" w:type="dxa"/>
            </w:tcMar>
            <w:vAlign w:val="center"/>
          </w:tcPr>
          <w:p w14:paraId="7AA42D5C" w14:textId="77777777" w:rsidR="00AF6B6A" w:rsidRDefault="00000000">
            <w:pPr>
              <w:keepNext/>
              <w:keepLines/>
              <w:spacing w:after="0" w:line="240" w:lineRule="auto"/>
              <w:jc w:val="right"/>
            </w:pPr>
            <w:r>
              <w:rPr>
                <w:sz w:val="18"/>
              </w:rPr>
              <w:t>36.028,74</w:t>
            </w:r>
          </w:p>
        </w:tc>
        <w:tc>
          <w:tcPr>
            <w:tcW w:w="1860" w:type="dxa"/>
            <w:tcMar>
              <w:top w:w="0" w:type="dxa"/>
              <w:bottom w:w="0" w:type="dxa"/>
            </w:tcMar>
            <w:vAlign w:val="center"/>
          </w:tcPr>
          <w:p w14:paraId="076D2D7E" w14:textId="77777777" w:rsidR="00AF6B6A" w:rsidRDefault="00000000">
            <w:pPr>
              <w:keepNext/>
              <w:keepLines/>
              <w:spacing w:after="0" w:line="240" w:lineRule="auto"/>
              <w:jc w:val="right"/>
            </w:pPr>
            <w:r>
              <w:rPr>
                <w:sz w:val="18"/>
              </w:rPr>
              <w:t>54.282,82</w:t>
            </w:r>
          </w:p>
        </w:tc>
        <w:tc>
          <w:tcPr>
            <w:tcW w:w="700" w:type="dxa"/>
            <w:tcMar>
              <w:top w:w="0" w:type="dxa"/>
              <w:bottom w:w="0" w:type="dxa"/>
            </w:tcMar>
            <w:vAlign w:val="center"/>
          </w:tcPr>
          <w:p w14:paraId="0276F30C" w14:textId="77777777" w:rsidR="00AF6B6A" w:rsidRDefault="00000000">
            <w:pPr>
              <w:keepNext/>
              <w:keepLines/>
              <w:spacing w:after="0" w:line="240" w:lineRule="auto"/>
              <w:jc w:val="right"/>
            </w:pPr>
            <w:r>
              <w:rPr>
                <w:sz w:val="18"/>
              </w:rPr>
              <w:t>150,7</w:t>
            </w:r>
          </w:p>
        </w:tc>
      </w:tr>
    </w:tbl>
    <w:p w14:paraId="26755621" w14:textId="77777777" w:rsidR="00AF6B6A" w:rsidRDefault="00AF6B6A">
      <w:pPr>
        <w:spacing w:after="0"/>
      </w:pPr>
    </w:p>
    <w:p w14:paraId="7E7606D4" w14:textId="77777777" w:rsidR="00AF6B6A" w:rsidRDefault="00000000">
      <w:pPr>
        <w:jc w:val="both"/>
      </w:pPr>
      <w:r>
        <w:t xml:space="preserve">Službena putovanja (3211) značajno su veća u odnosu na prošlu godinu budući da su u toku 2025. godine obavljena razna službena putovanja u svrhu proširenja suradnja i stjecanja novih </w:t>
      </w:r>
      <w:r>
        <w:lastRenderedPageBreak/>
        <w:t>znanja iz drugih zemalja, a isto tako su obavljena i službena putovanja u sklopu nekih projekata koji se trenutno provode.</w:t>
      </w:r>
    </w:p>
    <w:p w14:paraId="10F0E0DD" w14:textId="77777777" w:rsidR="00AF6B6A" w:rsidRDefault="00AF6B6A"/>
    <w:p w14:paraId="03EF3CDB" w14:textId="77777777" w:rsidR="00AF6B6A"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7E7A68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FE4460"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91CDCC"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90EA6B"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7DE682"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00E8AF"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EB6B26" w14:textId="77777777" w:rsidR="00AF6B6A" w:rsidRDefault="00000000">
            <w:pPr>
              <w:keepNext/>
              <w:keepLines/>
              <w:spacing w:after="0" w:line="240" w:lineRule="auto"/>
              <w:jc w:val="center"/>
            </w:pPr>
            <w:r>
              <w:rPr>
                <w:b/>
                <w:sz w:val="18"/>
              </w:rPr>
              <w:t>Indeks (%)</w:t>
            </w:r>
          </w:p>
        </w:tc>
      </w:tr>
      <w:tr w:rsidR="00AF6B6A" w14:paraId="45A5768A" w14:textId="77777777">
        <w:tblPrEx>
          <w:tblCellMar>
            <w:top w:w="0" w:type="dxa"/>
            <w:bottom w:w="0" w:type="dxa"/>
          </w:tblCellMar>
        </w:tblPrEx>
        <w:trPr>
          <w:cantSplit/>
          <w:trHeight w:val="560"/>
        </w:trPr>
        <w:tc>
          <w:tcPr>
            <w:tcW w:w="700" w:type="dxa"/>
            <w:tcMar>
              <w:top w:w="0" w:type="dxa"/>
              <w:bottom w:w="0" w:type="dxa"/>
            </w:tcMar>
            <w:vAlign w:val="center"/>
          </w:tcPr>
          <w:p w14:paraId="38F57224" w14:textId="77777777" w:rsidR="00AF6B6A" w:rsidRDefault="00000000">
            <w:pPr>
              <w:keepNext/>
              <w:keepLines/>
              <w:spacing w:after="0" w:line="240" w:lineRule="auto"/>
            </w:pPr>
            <w:r>
              <w:rPr>
                <w:sz w:val="18"/>
              </w:rPr>
              <w:t>322</w:t>
            </w:r>
          </w:p>
        </w:tc>
        <w:tc>
          <w:tcPr>
            <w:tcW w:w="3180" w:type="dxa"/>
            <w:tcMar>
              <w:top w:w="0" w:type="dxa"/>
              <w:bottom w:w="0" w:type="dxa"/>
            </w:tcMar>
            <w:vAlign w:val="center"/>
          </w:tcPr>
          <w:p w14:paraId="3B289F54" w14:textId="77777777" w:rsidR="00AF6B6A"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20752199" w14:textId="77777777" w:rsidR="00AF6B6A" w:rsidRDefault="00000000">
            <w:pPr>
              <w:keepNext/>
              <w:keepLines/>
              <w:spacing w:after="0" w:line="240" w:lineRule="auto"/>
            </w:pPr>
            <w:r>
              <w:rPr>
                <w:sz w:val="18"/>
              </w:rPr>
              <w:t>322</w:t>
            </w:r>
          </w:p>
        </w:tc>
        <w:tc>
          <w:tcPr>
            <w:tcW w:w="1860" w:type="dxa"/>
            <w:tcMar>
              <w:top w:w="0" w:type="dxa"/>
              <w:bottom w:w="0" w:type="dxa"/>
            </w:tcMar>
            <w:vAlign w:val="center"/>
          </w:tcPr>
          <w:p w14:paraId="4896BA61" w14:textId="77777777" w:rsidR="00AF6B6A" w:rsidRDefault="00000000">
            <w:pPr>
              <w:keepNext/>
              <w:keepLines/>
              <w:spacing w:after="0" w:line="240" w:lineRule="auto"/>
              <w:jc w:val="right"/>
            </w:pPr>
            <w:r>
              <w:rPr>
                <w:sz w:val="18"/>
              </w:rPr>
              <w:t>811.218,93</w:t>
            </w:r>
          </w:p>
        </w:tc>
        <w:tc>
          <w:tcPr>
            <w:tcW w:w="1860" w:type="dxa"/>
            <w:tcMar>
              <w:top w:w="0" w:type="dxa"/>
              <w:bottom w:w="0" w:type="dxa"/>
            </w:tcMar>
            <w:vAlign w:val="center"/>
          </w:tcPr>
          <w:p w14:paraId="5979063C" w14:textId="77777777" w:rsidR="00AF6B6A" w:rsidRDefault="00000000">
            <w:pPr>
              <w:keepNext/>
              <w:keepLines/>
              <w:spacing w:after="0" w:line="240" w:lineRule="auto"/>
              <w:jc w:val="right"/>
            </w:pPr>
            <w:r>
              <w:rPr>
                <w:sz w:val="18"/>
              </w:rPr>
              <w:t>577.663,99</w:t>
            </w:r>
          </w:p>
        </w:tc>
        <w:tc>
          <w:tcPr>
            <w:tcW w:w="700" w:type="dxa"/>
            <w:tcMar>
              <w:top w:w="0" w:type="dxa"/>
              <w:bottom w:w="0" w:type="dxa"/>
            </w:tcMar>
            <w:vAlign w:val="center"/>
          </w:tcPr>
          <w:p w14:paraId="12F11453" w14:textId="77777777" w:rsidR="00AF6B6A" w:rsidRDefault="00000000">
            <w:pPr>
              <w:keepNext/>
              <w:keepLines/>
              <w:spacing w:after="0" w:line="240" w:lineRule="auto"/>
              <w:jc w:val="right"/>
            </w:pPr>
            <w:r>
              <w:rPr>
                <w:sz w:val="18"/>
              </w:rPr>
              <w:t>71,2</w:t>
            </w:r>
          </w:p>
        </w:tc>
      </w:tr>
    </w:tbl>
    <w:p w14:paraId="77C1636C" w14:textId="77777777" w:rsidR="00AF6B6A" w:rsidRDefault="00AF6B6A">
      <w:pPr>
        <w:spacing w:after="0"/>
      </w:pPr>
    </w:p>
    <w:p w14:paraId="51101786" w14:textId="77777777" w:rsidR="00AF6B6A" w:rsidRDefault="00000000">
      <w:pPr>
        <w:jc w:val="both"/>
      </w:pPr>
      <w:r>
        <w:t>Rashodi za materijal i energiju (322) izvršeni su u iznosu od 577.663,99 EUR, 28,8% su manji od 2024. godine. Rashodi za energiju su za 33,7% manji nego u 2024. godini odnosno za 248.260,62 EUR.</w:t>
      </w:r>
    </w:p>
    <w:p w14:paraId="71636218" w14:textId="77777777" w:rsidR="00AF6B6A" w:rsidRDefault="00AF6B6A"/>
    <w:p w14:paraId="0CB71A93" w14:textId="77777777" w:rsidR="00AF6B6A"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AF127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832396"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F91573"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B89C17"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490ADA"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3227A2"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2754E9" w14:textId="77777777" w:rsidR="00AF6B6A" w:rsidRDefault="00000000">
            <w:pPr>
              <w:keepNext/>
              <w:keepLines/>
              <w:spacing w:after="0" w:line="240" w:lineRule="auto"/>
              <w:jc w:val="center"/>
            </w:pPr>
            <w:r>
              <w:rPr>
                <w:b/>
                <w:sz w:val="18"/>
              </w:rPr>
              <w:t>Indeks (%)</w:t>
            </w:r>
          </w:p>
        </w:tc>
      </w:tr>
      <w:tr w:rsidR="00AF6B6A" w14:paraId="7CF7CB05" w14:textId="77777777">
        <w:tblPrEx>
          <w:tblCellMar>
            <w:top w:w="0" w:type="dxa"/>
            <w:bottom w:w="0" w:type="dxa"/>
          </w:tblCellMar>
        </w:tblPrEx>
        <w:trPr>
          <w:cantSplit/>
          <w:trHeight w:val="560"/>
        </w:trPr>
        <w:tc>
          <w:tcPr>
            <w:tcW w:w="700" w:type="dxa"/>
            <w:tcMar>
              <w:top w:w="0" w:type="dxa"/>
              <w:bottom w:w="0" w:type="dxa"/>
            </w:tcMar>
            <w:vAlign w:val="center"/>
          </w:tcPr>
          <w:p w14:paraId="70748865" w14:textId="77777777" w:rsidR="00AF6B6A" w:rsidRDefault="00000000">
            <w:pPr>
              <w:keepNext/>
              <w:keepLines/>
              <w:spacing w:after="0" w:line="240" w:lineRule="auto"/>
            </w:pPr>
            <w:r>
              <w:rPr>
                <w:sz w:val="18"/>
              </w:rPr>
              <w:t>323</w:t>
            </w:r>
          </w:p>
        </w:tc>
        <w:tc>
          <w:tcPr>
            <w:tcW w:w="3180" w:type="dxa"/>
            <w:tcMar>
              <w:top w:w="0" w:type="dxa"/>
              <w:bottom w:w="0" w:type="dxa"/>
            </w:tcMar>
            <w:vAlign w:val="center"/>
          </w:tcPr>
          <w:p w14:paraId="41A186FF" w14:textId="77777777" w:rsidR="00AF6B6A"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6CC4CBA9" w14:textId="77777777" w:rsidR="00AF6B6A" w:rsidRDefault="00000000">
            <w:pPr>
              <w:keepNext/>
              <w:keepLines/>
              <w:spacing w:after="0" w:line="240" w:lineRule="auto"/>
            </w:pPr>
            <w:r>
              <w:rPr>
                <w:sz w:val="18"/>
              </w:rPr>
              <w:t>323</w:t>
            </w:r>
          </w:p>
        </w:tc>
        <w:tc>
          <w:tcPr>
            <w:tcW w:w="1860" w:type="dxa"/>
            <w:tcMar>
              <w:top w:w="0" w:type="dxa"/>
              <w:bottom w:w="0" w:type="dxa"/>
            </w:tcMar>
            <w:vAlign w:val="center"/>
          </w:tcPr>
          <w:p w14:paraId="54C6093B" w14:textId="77777777" w:rsidR="00AF6B6A" w:rsidRDefault="00000000">
            <w:pPr>
              <w:keepNext/>
              <w:keepLines/>
              <w:spacing w:after="0" w:line="240" w:lineRule="auto"/>
              <w:jc w:val="right"/>
            </w:pPr>
            <w:r>
              <w:rPr>
                <w:sz w:val="18"/>
              </w:rPr>
              <w:t>17.324.234,96</w:t>
            </w:r>
          </w:p>
        </w:tc>
        <w:tc>
          <w:tcPr>
            <w:tcW w:w="1860" w:type="dxa"/>
            <w:tcMar>
              <w:top w:w="0" w:type="dxa"/>
              <w:bottom w:w="0" w:type="dxa"/>
            </w:tcMar>
            <w:vAlign w:val="center"/>
          </w:tcPr>
          <w:p w14:paraId="4C5CF992" w14:textId="77777777" w:rsidR="00AF6B6A" w:rsidRDefault="00000000">
            <w:pPr>
              <w:keepNext/>
              <w:keepLines/>
              <w:spacing w:after="0" w:line="240" w:lineRule="auto"/>
              <w:jc w:val="right"/>
            </w:pPr>
            <w:r>
              <w:rPr>
                <w:sz w:val="18"/>
              </w:rPr>
              <w:t>17.232.748,28</w:t>
            </w:r>
          </w:p>
        </w:tc>
        <w:tc>
          <w:tcPr>
            <w:tcW w:w="700" w:type="dxa"/>
            <w:tcMar>
              <w:top w:w="0" w:type="dxa"/>
              <w:bottom w:w="0" w:type="dxa"/>
            </w:tcMar>
            <w:vAlign w:val="center"/>
          </w:tcPr>
          <w:p w14:paraId="25DF276A" w14:textId="77777777" w:rsidR="00AF6B6A" w:rsidRDefault="00000000">
            <w:pPr>
              <w:keepNext/>
              <w:keepLines/>
              <w:spacing w:after="0" w:line="240" w:lineRule="auto"/>
              <w:jc w:val="right"/>
            </w:pPr>
            <w:r>
              <w:rPr>
                <w:sz w:val="18"/>
              </w:rPr>
              <w:t>99,5</w:t>
            </w:r>
          </w:p>
        </w:tc>
      </w:tr>
    </w:tbl>
    <w:p w14:paraId="493483E4" w14:textId="77777777" w:rsidR="00AF6B6A" w:rsidRDefault="00AF6B6A">
      <w:pPr>
        <w:spacing w:after="0"/>
      </w:pPr>
    </w:p>
    <w:p w14:paraId="7EB48C14" w14:textId="77777777" w:rsidR="00AF6B6A" w:rsidRDefault="00000000">
      <w:pPr>
        <w:jc w:val="both"/>
      </w:pPr>
      <w:r>
        <w:t>Rashodi za usluge (323) ostvareni su u iznosu 17.232.748,28 EUR odnosno 0,5% manje nego u 2024. godini. </w:t>
      </w:r>
    </w:p>
    <w:p w14:paraId="6F6EDBB1" w14:textId="77777777" w:rsidR="00AF6B6A" w:rsidRDefault="00AF6B6A"/>
    <w:p w14:paraId="0AEEFC08" w14:textId="77777777" w:rsidR="00AF6B6A"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3AF5B6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477396"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29E935"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E45412"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7A0AC1"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FB949C"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81004F" w14:textId="77777777" w:rsidR="00AF6B6A" w:rsidRDefault="00000000">
            <w:pPr>
              <w:keepNext/>
              <w:keepLines/>
              <w:spacing w:after="0" w:line="240" w:lineRule="auto"/>
              <w:jc w:val="center"/>
            </w:pPr>
            <w:r>
              <w:rPr>
                <w:b/>
                <w:sz w:val="18"/>
              </w:rPr>
              <w:t>Indeks (%)</w:t>
            </w:r>
          </w:p>
        </w:tc>
      </w:tr>
      <w:tr w:rsidR="00AF6B6A" w14:paraId="5E29E7F5" w14:textId="77777777">
        <w:tblPrEx>
          <w:tblCellMar>
            <w:top w:w="0" w:type="dxa"/>
            <w:bottom w:w="0" w:type="dxa"/>
          </w:tblCellMar>
        </w:tblPrEx>
        <w:trPr>
          <w:cantSplit/>
          <w:trHeight w:val="560"/>
        </w:trPr>
        <w:tc>
          <w:tcPr>
            <w:tcW w:w="700" w:type="dxa"/>
            <w:tcMar>
              <w:top w:w="0" w:type="dxa"/>
              <w:bottom w:w="0" w:type="dxa"/>
            </w:tcMar>
            <w:vAlign w:val="center"/>
          </w:tcPr>
          <w:p w14:paraId="7F5A061A" w14:textId="77777777" w:rsidR="00AF6B6A" w:rsidRDefault="00000000">
            <w:pPr>
              <w:keepNext/>
              <w:keepLines/>
              <w:spacing w:after="0" w:line="240" w:lineRule="auto"/>
            </w:pPr>
            <w:r>
              <w:rPr>
                <w:sz w:val="18"/>
              </w:rPr>
              <w:t>3232</w:t>
            </w:r>
          </w:p>
        </w:tc>
        <w:tc>
          <w:tcPr>
            <w:tcW w:w="3180" w:type="dxa"/>
            <w:tcMar>
              <w:top w:w="0" w:type="dxa"/>
              <w:bottom w:w="0" w:type="dxa"/>
            </w:tcMar>
            <w:vAlign w:val="center"/>
          </w:tcPr>
          <w:p w14:paraId="3BA91107" w14:textId="77777777" w:rsidR="00AF6B6A"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5FFEFD80" w14:textId="77777777" w:rsidR="00AF6B6A" w:rsidRDefault="00000000">
            <w:pPr>
              <w:keepNext/>
              <w:keepLines/>
              <w:spacing w:after="0" w:line="240" w:lineRule="auto"/>
            </w:pPr>
            <w:r>
              <w:rPr>
                <w:sz w:val="18"/>
              </w:rPr>
              <w:t>3232</w:t>
            </w:r>
          </w:p>
        </w:tc>
        <w:tc>
          <w:tcPr>
            <w:tcW w:w="1860" w:type="dxa"/>
            <w:tcMar>
              <w:top w:w="0" w:type="dxa"/>
              <w:bottom w:w="0" w:type="dxa"/>
            </w:tcMar>
            <w:vAlign w:val="center"/>
          </w:tcPr>
          <w:p w14:paraId="54500E09" w14:textId="77777777" w:rsidR="00AF6B6A" w:rsidRDefault="00000000">
            <w:pPr>
              <w:keepNext/>
              <w:keepLines/>
              <w:spacing w:after="0" w:line="240" w:lineRule="auto"/>
              <w:jc w:val="right"/>
            </w:pPr>
            <w:r>
              <w:rPr>
                <w:sz w:val="18"/>
              </w:rPr>
              <w:t>6.322.623,98</w:t>
            </w:r>
          </w:p>
        </w:tc>
        <w:tc>
          <w:tcPr>
            <w:tcW w:w="1860" w:type="dxa"/>
            <w:tcMar>
              <w:top w:w="0" w:type="dxa"/>
              <w:bottom w:w="0" w:type="dxa"/>
            </w:tcMar>
            <w:vAlign w:val="center"/>
          </w:tcPr>
          <w:p w14:paraId="1E3756BF" w14:textId="77777777" w:rsidR="00AF6B6A" w:rsidRDefault="00000000">
            <w:pPr>
              <w:keepNext/>
              <w:keepLines/>
              <w:spacing w:after="0" w:line="240" w:lineRule="auto"/>
              <w:jc w:val="right"/>
            </w:pPr>
            <w:r>
              <w:rPr>
                <w:sz w:val="18"/>
              </w:rPr>
              <w:t>5.139.151,41</w:t>
            </w:r>
          </w:p>
        </w:tc>
        <w:tc>
          <w:tcPr>
            <w:tcW w:w="700" w:type="dxa"/>
            <w:tcMar>
              <w:top w:w="0" w:type="dxa"/>
              <w:bottom w:w="0" w:type="dxa"/>
            </w:tcMar>
            <w:vAlign w:val="center"/>
          </w:tcPr>
          <w:p w14:paraId="4C07B14E" w14:textId="77777777" w:rsidR="00AF6B6A" w:rsidRDefault="00000000">
            <w:pPr>
              <w:keepNext/>
              <w:keepLines/>
              <w:spacing w:after="0" w:line="240" w:lineRule="auto"/>
              <w:jc w:val="right"/>
            </w:pPr>
            <w:r>
              <w:rPr>
                <w:sz w:val="18"/>
              </w:rPr>
              <w:t>81,3</w:t>
            </w:r>
          </w:p>
        </w:tc>
      </w:tr>
    </w:tbl>
    <w:p w14:paraId="08B48E0E" w14:textId="77777777" w:rsidR="00AF6B6A" w:rsidRDefault="00AF6B6A">
      <w:pPr>
        <w:spacing w:after="0"/>
      </w:pPr>
    </w:p>
    <w:p w14:paraId="11BA5FB8" w14:textId="77777777" w:rsidR="00AF6B6A" w:rsidRDefault="00000000">
      <w:pPr>
        <w:jc w:val="both"/>
      </w:pPr>
      <w:r>
        <w:t>Usluge tekućeg i investicijskog održavanja manje su u 2025. godini za 18,7%. Glavni razlog manjeg ostvarenja u 2025. godini je manje ostvarenih rashoda u aktivnosti Uređenje i održavanje gradskih ulica i trgova. </w:t>
      </w:r>
    </w:p>
    <w:p w14:paraId="35F6C4E6" w14:textId="77777777" w:rsidR="00AF6B6A" w:rsidRDefault="00AF6B6A"/>
    <w:p w14:paraId="56EC8817" w14:textId="77777777" w:rsidR="00AF6B6A"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47C04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2DC0B5"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46BE3D"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FD05DF"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D72271"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510838"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B5048A" w14:textId="77777777" w:rsidR="00AF6B6A" w:rsidRDefault="00000000">
            <w:pPr>
              <w:keepNext/>
              <w:keepLines/>
              <w:spacing w:after="0" w:line="240" w:lineRule="auto"/>
              <w:jc w:val="center"/>
            </w:pPr>
            <w:r>
              <w:rPr>
                <w:b/>
                <w:sz w:val="18"/>
              </w:rPr>
              <w:t>Indeks (%)</w:t>
            </w:r>
          </w:p>
        </w:tc>
      </w:tr>
      <w:tr w:rsidR="00AF6B6A" w14:paraId="7CAC24E9" w14:textId="77777777">
        <w:tblPrEx>
          <w:tblCellMar>
            <w:top w:w="0" w:type="dxa"/>
            <w:bottom w:w="0" w:type="dxa"/>
          </w:tblCellMar>
        </w:tblPrEx>
        <w:trPr>
          <w:cantSplit/>
          <w:trHeight w:val="560"/>
        </w:trPr>
        <w:tc>
          <w:tcPr>
            <w:tcW w:w="700" w:type="dxa"/>
            <w:tcMar>
              <w:top w:w="0" w:type="dxa"/>
              <w:bottom w:w="0" w:type="dxa"/>
            </w:tcMar>
            <w:vAlign w:val="center"/>
          </w:tcPr>
          <w:p w14:paraId="34D181F2" w14:textId="77777777" w:rsidR="00AF6B6A" w:rsidRDefault="00000000">
            <w:pPr>
              <w:keepNext/>
              <w:keepLines/>
              <w:spacing w:after="0" w:line="240" w:lineRule="auto"/>
            </w:pPr>
            <w:r>
              <w:rPr>
                <w:sz w:val="18"/>
              </w:rPr>
              <w:t>3234</w:t>
            </w:r>
          </w:p>
        </w:tc>
        <w:tc>
          <w:tcPr>
            <w:tcW w:w="3180" w:type="dxa"/>
            <w:tcMar>
              <w:top w:w="0" w:type="dxa"/>
              <w:bottom w:w="0" w:type="dxa"/>
            </w:tcMar>
            <w:vAlign w:val="center"/>
          </w:tcPr>
          <w:p w14:paraId="6472E758" w14:textId="77777777" w:rsidR="00AF6B6A" w:rsidRDefault="00000000">
            <w:pPr>
              <w:keepNext/>
              <w:keepLines/>
              <w:spacing w:after="0" w:line="240" w:lineRule="auto"/>
            </w:pPr>
            <w:r>
              <w:rPr>
                <w:sz w:val="18"/>
              </w:rPr>
              <w:t>Komunalne usluge</w:t>
            </w:r>
          </w:p>
        </w:tc>
        <w:tc>
          <w:tcPr>
            <w:tcW w:w="700" w:type="dxa"/>
            <w:tcMar>
              <w:top w:w="0" w:type="dxa"/>
              <w:bottom w:w="0" w:type="dxa"/>
            </w:tcMar>
            <w:vAlign w:val="center"/>
          </w:tcPr>
          <w:p w14:paraId="27221148" w14:textId="77777777" w:rsidR="00AF6B6A" w:rsidRDefault="00000000">
            <w:pPr>
              <w:keepNext/>
              <w:keepLines/>
              <w:spacing w:after="0" w:line="240" w:lineRule="auto"/>
            </w:pPr>
            <w:r>
              <w:rPr>
                <w:sz w:val="18"/>
              </w:rPr>
              <w:t>3234</w:t>
            </w:r>
          </w:p>
        </w:tc>
        <w:tc>
          <w:tcPr>
            <w:tcW w:w="1860" w:type="dxa"/>
            <w:tcMar>
              <w:top w:w="0" w:type="dxa"/>
              <w:bottom w:w="0" w:type="dxa"/>
            </w:tcMar>
            <w:vAlign w:val="center"/>
          </w:tcPr>
          <w:p w14:paraId="60FDC9BA" w14:textId="77777777" w:rsidR="00AF6B6A" w:rsidRDefault="00000000">
            <w:pPr>
              <w:keepNext/>
              <w:keepLines/>
              <w:spacing w:after="0" w:line="240" w:lineRule="auto"/>
              <w:jc w:val="right"/>
            </w:pPr>
            <w:r>
              <w:rPr>
                <w:sz w:val="18"/>
              </w:rPr>
              <w:t>3.931.772,88</w:t>
            </w:r>
          </w:p>
        </w:tc>
        <w:tc>
          <w:tcPr>
            <w:tcW w:w="1860" w:type="dxa"/>
            <w:tcMar>
              <w:top w:w="0" w:type="dxa"/>
              <w:bottom w:w="0" w:type="dxa"/>
            </w:tcMar>
            <w:vAlign w:val="center"/>
          </w:tcPr>
          <w:p w14:paraId="0330C4DB" w14:textId="77777777" w:rsidR="00AF6B6A" w:rsidRDefault="00000000">
            <w:pPr>
              <w:keepNext/>
              <w:keepLines/>
              <w:spacing w:after="0" w:line="240" w:lineRule="auto"/>
              <w:jc w:val="right"/>
            </w:pPr>
            <w:r>
              <w:rPr>
                <w:sz w:val="18"/>
              </w:rPr>
              <w:t>5.194.696,81</w:t>
            </w:r>
          </w:p>
        </w:tc>
        <w:tc>
          <w:tcPr>
            <w:tcW w:w="700" w:type="dxa"/>
            <w:tcMar>
              <w:top w:w="0" w:type="dxa"/>
              <w:bottom w:w="0" w:type="dxa"/>
            </w:tcMar>
            <w:vAlign w:val="center"/>
          </w:tcPr>
          <w:p w14:paraId="00FCC8B3" w14:textId="77777777" w:rsidR="00AF6B6A" w:rsidRDefault="00000000">
            <w:pPr>
              <w:keepNext/>
              <w:keepLines/>
              <w:spacing w:after="0" w:line="240" w:lineRule="auto"/>
              <w:jc w:val="right"/>
            </w:pPr>
            <w:r>
              <w:rPr>
                <w:sz w:val="18"/>
              </w:rPr>
              <w:t>132,1</w:t>
            </w:r>
          </w:p>
        </w:tc>
      </w:tr>
    </w:tbl>
    <w:p w14:paraId="73110415" w14:textId="77777777" w:rsidR="00AF6B6A" w:rsidRDefault="00AF6B6A">
      <w:pPr>
        <w:spacing w:after="0"/>
      </w:pPr>
    </w:p>
    <w:p w14:paraId="6ED699FB" w14:textId="77777777" w:rsidR="00AF6B6A" w:rsidRDefault="00000000">
      <w:pPr>
        <w:jc w:val="both"/>
      </w:pPr>
      <w:r>
        <w:lastRenderedPageBreak/>
        <w:t>Komunalne usluge veće su za 32,1% najvećim dijelom zbog povećanih rashoda u aktivnostima Uređenje i održavanje zelenih površina, Uređenje i održavanje gradskih groblja i Održavanje čistoće javnih površina.</w:t>
      </w:r>
    </w:p>
    <w:p w14:paraId="39DE11DE" w14:textId="77777777" w:rsidR="00AF6B6A" w:rsidRDefault="00AF6B6A"/>
    <w:p w14:paraId="176049D8" w14:textId="77777777" w:rsidR="00AF6B6A"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4C4915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FD8EED"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61016D"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807894"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9EB8A1"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1DE3CA"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B8740D" w14:textId="77777777" w:rsidR="00AF6B6A" w:rsidRDefault="00000000">
            <w:pPr>
              <w:keepNext/>
              <w:keepLines/>
              <w:spacing w:after="0" w:line="240" w:lineRule="auto"/>
              <w:jc w:val="center"/>
            </w:pPr>
            <w:r>
              <w:rPr>
                <w:b/>
                <w:sz w:val="18"/>
              </w:rPr>
              <w:t>Indeks (%)</w:t>
            </w:r>
          </w:p>
        </w:tc>
      </w:tr>
      <w:tr w:rsidR="00AF6B6A" w14:paraId="636282C5" w14:textId="77777777">
        <w:tblPrEx>
          <w:tblCellMar>
            <w:top w:w="0" w:type="dxa"/>
            <w:bottom w:w="0" w:type="dxa"/>
          </w:tblCellMar>
        </w:tblPrEx>
        <w:trPr>
          <w:cantSplit/>
          <w:trHeight w:val="560"/>
        </w:trPr>
        <w:tc>
          <w:tcPr>
            <w:tcW w:w="700" w:type="dxa"/>
            <w:tcMar>
              <w:top w:w="0" w:type="dxa"/>
              <w:bottom w:w="0" w:type="dxa"/>
            </w:tcMar>
            <w:vAlign w:val="center"/>
          </w:tcPr>
          <w:p w14:paraId="2AC4F6A3" w14:textId="77777777" w:rsidR="00AF6B6A" w:rsidRDefault="00000000">
            <w:pPr>
              <w:keepNext/>
              <w:keepLines/>
              <w:spacing w:after="0" w:line="240" w:lineRule="auto"/>
            </w:pPr>
            <w:r>
              <w:rPr>
                <w:sz w:val="18"/>
              </w:rPr>
              <w:t>324</w:t>
            </w:r>
          </w:p>
        </w:tc>
        <w:tc>
          <w:tcPr>
            <w:tcW w:w="3180" w:type="dxa"/>
            <w:tcMar>
              <w:top w:w="0" w:type="dxa"/>
              <w:bottom w:w="0" w:type="dxa"/>
            </w:tcMar>
            <w:vAlign w:val="center"/>
          </w:tcPr>
          <w:p w14:paraId="613695FE" w14:textId="77777777" w:rsidR="00AF6B6A" w:rsidRDefault="00000000">
            <w:pPr>
              <w:keepNext/>
              <w:keepLines/>
              <w:spacing w:after="0" w:line="240" w:lineRule="auto"/>
            </w:pPr>
            <w:r>
              <w:rPr>
                <w:sz w:val="18"/>
              </w:rPr>
              <w:t>Naknade troškova osobama izvan radnog odnosa</w:t>
            </w:r>
          </w:p>
        </w:tc>
        <w:tc>
          <w:tcPr>
            <w:tcW w:w="700" w:type="dxa"/>
            <w:tcMar>
              <w:top w:w="0" w:type="dxa"/>
              <w:bottom w:w="0" w:type="dxa"/>
            </w:tcMar>
            <w:vAlign w:val="center"/>
          </w:tcPr>
          <w:p w14:paraId="062515C2" w14:textId="77777777" w:rsidR="00AF6B6A" w:rsidRDefault="00000000">
            <w:pPr>
              <w:keepNext/>
              <w:keepLines/>
              <w:spacing w:after="0" w:line="240" w:lineRule="auto"/>
            </w:pPr>
            <w:r>
              <w:rPr>
                <w:sz w:val="18"/>
              </w:rPr>
              <w:t>324</w:t>
            </w:r>
          </w:p>
        </w:tc>
        <w:tc>
          <w:tcPr>
            <w:tcW w:w="1860" w:type="dxa"/>
            <w:tcMar>
              <w:top w:w="0" w:type="dxa"/>
              <w:bottom w:w="0" w:type="dxa"/>
            </w:tcMar>
            <w:vAlign w:val="center"/>
          </w:tcPr>
          <w:p w14:paraId="57C056D7" w14:textId="77777777" w:rsidR="00AF6B6A" w:rsidRDefault="00000000">
            <w:pPr>
              <w:keepNext/>
              <w:keepLines/>
              <w:spacing w:after="0" w:line="240" w:lineRule="auto"/>
              <w:jc w:val="right"/>
            </w:pPr>
            <w:r>
              <w:rPr>
                <w:sz w:val="18"/>
              </w:rPr>
              <w:t>17.612,14</w:t>
            </w:r>
          </w:p>
        </w:tc>
        <w:tc>
          <w:tcPr>
            <w:tcW w:w="1860" w:type="dxa"/>
            <w:tcMar>
              <w:top w:w="0" w:type="dxa"/>
              <w:bottom w:w="0" w:type="dxa"/>
            </w:tcMar>
            <w:vAlign w:val="center"/>
          </w:tcPr>
          <w:p w14:paraId="08D06C1F" w14:textId="77777777" w:rsidR="00AF6B6A" w:rsidRDefault="00000000">
            <w:pPr>
              <w:keepNext/>
              <w:keepLines/>
              <w:spacing w:after="0" w:line="240" w:lineRule="auto"/>
              <w:jc w:val="right"/>
            </w:pPr>
            <w:r>
              <w:rPr>
                <w:sz w:val="18"/>
              </w:rPr>
              <w:t>17.001,97</w:t>
            </w:r>
          </w:p>
        </w:tc>
        <w:tc>
          <w:tcPr>
            <w:tcW w:w="700" w:type="dxa"/>
            <w:tcMar>
              <w:top w:w="0" w:type="dxa"/>
              <w:bottom w:w="0" w:type="dxa"/>
            </w:tcMar>
            <w:vAlign w:val="center"/>
          </w:tcPr>
          <w:p w14:paraId="3ED097F6" w14:textId="77777777" w:rsidR="00AF6B6A" w:rsidRDefault="00000000">
            <w:pPr>
              <w:keepNext/>
              <w:keepLines/>
              <w:spacing w:after="0" w:line="240" w:lineRule="auto"/>
              <w:jc w:val="right"/>
            </w:pPr>
            <w:r>
              <w:rPr>
                <w:sz w:val="18"/>
              </w:rPr>
              <w:t>96,5</w:t>
            </w:r>
          </w:p>
        </w:tc>
      </w:tr>
    </w:tbl>
    <w:p w14:paraId="553FA791" w14:textId="77777777" w:rsidR="00AF6B6A" w:rsidRDefault="00AF6B6A">
      <w:pPr>
        <w:spacing w:after="0"/>
      </w:pPr>
    </w:p>
    <w:p w14:paraId="060C4404" w14:textId="77777777" w:rsidR="00AF6B6A" w:rsidRDefault="00000000">
      <w:r>
        <w:t>Naknade osobama izvan radnog odnosa (324) iznose 17.001,97 EUR što je 3,5% manje nego 2024.godine.</w:t>
      </w:r>
    </w:p>
    <w:p w14:paraId="1F99F4DE" w14:textId="77777777" w:rsidR="00AF6B6A" w:rsidRDefault="00AF6B6A"/>
    <w:p w14:paraId="7053B0F4" w14:textId="77777777" w:rsidR="00AF6B6A"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10FFA4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B86558"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14BF9B"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076099"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118567"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37A69F"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FFF24F" w14:textId="77777777" w:rsidR="00AF6B6A" w:rsidRDefault="00000000">
            <w:pPr>
              <w:keepNext/>
              <w:keepLines/>
              <w:spacing w:after="0" w:line="240" w:lineRule="auto"/>
              <w:jc w:val="center"/>
            </w:pPr>
            <w:r>
              <w:rPr>
                <w:b/>
                <w:sz w:val="18"/>
              </w:rPr>
              <w:t>Indeks (%)</w:t>
            </w:r>
          </w:p>
        </w:tc>
      </w:tr>
      <w:tr w:rsidR="00AF6B6A" w14:paraId="70697520" w14:textId="77777777">
        <w:tblPrEx>
          <w:tblCellMar>
            <w:top w:w="0" w:type="dxa"/>
            <w:bottom w:w="0" w:type="dxa"/>
          </w:tblCellMar>
        </w:tblPrEx>
        <w:trPr>
          <w:cantSplit/>
          <w:trHeight w:val="560"/>
        </w:trPr>
        <w:tc>
          <w:tcPr>
            <w:tcW w:w="700" w:type="dxa"/>
            <w:tcMar>
              <w:top w:w="0" w:type="dxa"/>
              <w:bottom w:w="0" w:type="dxa"/>
            </w:tcMar>
            <w:vAlign w:val="center"/>
          </w:tcPr>
          <w:p w14:paraId="3A5C8059" w14:textId="77777777" w:rsidR="00AF6B6A" w:rsidRDefault="00000000">
            <w:pPr>
              <w:keepNext/>
              <w:keepLines/>
              <w:spacing w:after="0" w:line="240" w:lineRule="auto"/>
            </w:pPr>
            <w:r>
              <w:rPr>
                <w:sz w:val="18"/>
              </w:rPr>
              <w:t>3291</w:t>
            </w:r>
          </w:p>
        </w:tc>
        <w:tc>
          <w:tcPr>
            <w:tcW w:w="3180" w:type="dxa"/>
            <w:tcMar>
              <w:top w:w="0" w:type="dxa"/>
              <w:bottom w:w="0" w:type="dxa"/>
            </w:tcMar>
            <w:vAlign w:val="center"/>
          </w:tcPr>
          <w:p w14:paraId="09B49C78" w14:textId="77777777" w:rsidR="00AF6B6A"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70E35BAB" w14:textId="77777777" w:rsidR="00AF6B6A" w:rsidRDefault="00000000">
            <w:pPr>
              <w:keepNext/>
              <w:keepLines/>
              <w:spacing w:after="0" w:line="240" w:lineRule="auto"/>
            </w:pPr>
            <w:r>
              <w:rPr>
                <w:sz w:val="18"/>
              </w:rPr>
              <w:t>3291</w:t>
            </w:r>
          </w:p>
        </w:tc>
        <w:tc>
          <w:tcPr>
            <w:tcW w:w="1860" w:type="dxa"/>
            <w:tcMar>
              <w:top w:w="0" w:type="dxa"/>
              <w:bottom w:w="0" w:type="dxa"/>
            </w:tcMar>
            <w:vAlign w:val="center"/>
          </w:tcPr>
          <w:p w14:paraId="5D40922D" w14:textId="77777777" w:rsidR="00AF6B6A" w:rsidRDefault="00000000">
            <w:pPr>
              <w:keepNext/>
              <w:keepLines/>
              <w:spacing w:after="0" w:line="240" w:lineRule="auto"/>
              <w:jc w:val="right"/>
            </w:pPr>
            <w:r>
              <w:rPr>
                <w:sz w:val="18"/>
              </w:rPr>
              <w:t>142.390,79</w:t>
            </w:r>
          </w:p>
        </w:tc>
        <w:tc>
          <w:tcPr>
            <w:tcW w:w="1860" w:type="dxa"/>
            <w:tcMar>
              <w:top w:w="0" w:type="dxa"/>
              <w:bottom w:w="0" w:type="dxa"/>
            </w:tcMar>
            <w:vAlign w:val="center"/>
          </w:tcPr>
          <w:p w14:paraId="1134A749" w14:textId="77777777" w:rsidR="00AF6B6A" w:rsidRDefault="00000000">
            <w:pPr>
              <w:keepNext/>
              <w:keepLines/>
              <w:spacing w:after="0" w:line="240" w:lineRule="auto"/>
              <w:jc w:val="right"/>
            </w:pPr>
            <w:r>
              <w:rPr>
                <w:sz w:val="18"/>
              </w:rPr>
              <w:t>264.296,18</w:t>
            </w:r>
          </w:p>
        </w:tc>
        <w:tc>
          <w:tcPr>
            <w:tcW w:w="700" w:type="dxa"/>
            <w:tcMar>
              <w:top w:w="0" w:type="dxa"/>
              <w:bottom w:w="0" w:type="dxa"/>
            </w:tcMar>
            <w:vAlign w:val="center"/>
          </w:tcPr>
          <w:p w14:paraId="2C025451" w14:textId="77777777" w:rsidR="00AF6B6A" w:rsidRDefault="00000000">
            <w:pPr>
              <w:keepNext/>
              <w:keepLines/>
              <w:spacing w:after="0" w:line="240" w:lineRule="auto"/>
              <w:jc w:val="right"/>
            </w:pPr>
            <w:r>
              <w:rPr>
                <w:sz w:val="18"/>
              </w:rPr>
              <w:t>185,6</w:t>
            </w:r>
          </w:p>
        </w:tc>
      </w:tr>
    </w:tbl>
    <w:p w14:paraId="18BF3454" w14:textId="77777777" w:rsidR="00AF6B6A" w:rsidRDefault="00AF6B6A">
      <w:pPr>
        <w:spacing w:after="0"/>
      </w:pPr>
    </w:p>
    <w:p w14:paraId="7A473CF9" w14:textId="77777777" w:rsidR="00AF6B6A" w:rsidRDefault="00000000">
      <w:pPr>
        <w:jc w:val="both"/>
      </w:pPr>
      <w:r>
        <w:t>Naknade za rad predstavničkih i izvršnih tijela, povjerenstava i slično (3291) značajno su veće u odnosu na prošlu godinu budući da su na ovom kontu evidentirane naknade članovima biračkih odbora, Gradskog izbornog povjerenstva i stručnog tima prilikom održavanja Lokalnih izbora u svibnju (1. krug) i lipnju (2. krug ) ove godine.</w:t>
      </w:r>
    </w:p>
    <w:p w14:paraId="19FB2115" w14:textId="77777777" w:rsidR="00AF6B6A" w:rsidRDefault="00AF6B6A"/>
    <w:p w14:paraId="5230E996" w14:textId="77777777" w:rsidR="00AF6B6A"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467572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7DF9DB"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E722A6"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28F6D9"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92B3AD"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03F3AD"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A80931" w14:textId="77777777" w:rsidR="00AF6B6A" w:rsidRDefault="00000000">
            <w:pPr>
              <w:keepNext/>
              <w:keepLines/>
              <w:spacing w:after="0" w:line="240" w:lineRule="auto"/>
              <w:jc w:val="center"/>
            </w:pPr>
            <w:r>
              <w:rPr>
                <w:b/>
                <w:sz w:val="18"/>
              </w:rPr>
              <w:t>Indeks (%)</w:t>
            </w:r>
          </w:p>
        </w:tc>
      </w:tr>
      <w:tr w:rsidR="00AF6B6A" w14:paraId="40B4E41D" w14:textId="77777777">
        <w:tblPrEx>
          <w:tblCellMar>
            <w:top w:w="0" w:type="dxa"/>
            <w:bottom w:w="0" w:type="dxa"/>
          </w:tblCellMar>
        </w:tblPrEx>
        <w:trPr>
          <w:cantSplit/>
          <w:trHeight w:val="560"/>
        </w:trPr>
        <w:tc>
          <w:tcPr>
            <w:tcW w:w="700" w:type="dxa"/>
            <w:tcMar>
              <w:top w:w="0" w:type="dxa"/>
              <w:bottom w:w="0" w:type="dxa"/>
            </w:tcMar>
            <w:vAlign w:val="center"/>
          </w:tcPr>
          <w:p w14:paraId="22B16AA0" w14:textId="77777777" w:rsidR="00AF6B6A" w:rsidRDefault="00000000">
            <w:pPr>
              <w:keepNext/>
              <w:keepLines/>
              <w:spacing w:after="0" w:line="240" w:lineRule="auto"/>
            </w:pPr>
            <w:r>
              <w:rPr>
                <w:sz w:val="18"/>
              </w:rPr>
              <w:t>3296</w:t>
            </w:r>
          </w:p>
        </w:tc>
        <w:tc>
          <w:tcPr>
            <w:tcW w:w="3180" w:type="dxa"/>
            <w:tcMar>
              <w:top w:w="0" w:type="dxa"/>
              <w:bottom w:w="0" w:type="dxa"/>
            </w:tcMar>
            <w:vAlign w:val="center"/>
          </w:tcPr>
          <w:p w14:paraId="0B5433E0" w14:textId="77777777" w:rsidR="00AF6B6A" w:rsidRDefault="00000000">
            <w:pPr>
              <w:keepNext/>
              <w:keepLines/>
              <w:spacing w:after="0" w:line="240" w:lineRule="auto"/>
            </w:pPr>
            <w:r>
              <w:rPr>
                <w:sz w:val="18"/>
              </w:rPr>
              <w:t>Troškovi sudskih postupaka</w:t>
            </w:r>
          </w:p>
        </w:tc>
        <w:tc>
          <w:tcPr>
            <w:tcW w:w="700" w:type="dxa"/>
            <w:tcMar>
              <w:top w:w="0" w:type="dxa"/>
              <w:bottom w:w="0" w:type="dxa"/>
            </w:tcMar>
            <w:vAlign w:val="center"/>
          </w:tcPr>
          <w:p w14:paraId="3856D13F" w14:textId="77777777" w:rsidR="00AF6B6A" w:rsidRDefault="00000000">
            <w:pPr>
              <w:keepNext/>
              <w:keepLines/>
              <w:spacing w:after="0" w:line="240" w:lineRule="auto"/>
            </w:pPr>
            <w:r>
              <w:rPr>
                <w:sz w:val="18"/>
              </w:rPr>
              <w:t>3296</w:t>
            </w:r>
          </w:p>
        </w:tc>
        <w:tc>
          <w:tcPr>
            <w:tcW w:w="1860" w:type="dxa"/>
            <w:tcMar>
              <w:top w:w="0" w:type="dxa"/>
              <w:bottom w:w="0" w:type="dxa"/>
            </w:tcMar>
            <w:vAlign w:val="center"/>
          </w:tcPr>
          <w:p w14:paraId="75A6328E" w14:textId="77777777" w:rsidR="00AF6B6A" w:rsidRDefault="00000000">
            <w:pPr>
              <w:keepNext/>
              <w:keepLines/>
              <w:spacing w:after="0" w:line="240" w:lineRule="auto"/>
              <w:jc w:val="right"/>
            </w:pPr>
            <w:r>
              <w:rPr>
                <w:sz w:val="18"/>
              </w:rPr>
              <w:t>2.135,00</w:t>
            </w:r>
          </w:p>
        </w:tc>
        <w:tc>
          <w:tcPr>
            <w:tcW w:w="1860" w:type="dxa"/>
            <w:tcMar>
              <w:top w:w="0" w:type="dxa"/>
              <w:bottom w:w="0" w:type="dxa"/>
            </w:tcMar>
            <w:vAlign w:val="center"/>
          </w:tcPr>
          <w:p w14:paraId="03EE552B" w14:textId="77777777" w:rsidR="00AF6B6A" w:rsidRDefault="00000000">
            <w:pPr>
              <w:keepNext/>
              <w:keepLines/>
              <w:spacing w:after="0" w:line="240" w:lineRule="auto"/>
              <w:jc w:val="right"/>
            </w:pPr>
            <w:r>
              <w:rPr>
                <w:sz w:val="18"/>
              </w:rPr>
              <w:t>4.125,00</w:t>
            </w:r>
          </w:p>
        </w:tc>
        <w:tc>
          <w:tcPr>
            <w:tcW w:w="700" w:type="dxa"/>
            <w:tcMar>
              <w:top w:w="0" w:type="dxa"/>
              <w:bottom w:w="0" w:type="dxa"/>
            </w:tcMar>
            <w:vAlign w:val="center"/>
          </w:tcPr>
          <w:p w14:paraId="69461588" w14:textId="77777777" w:rsidR="00AF6B6A" w:rsidRDefault="00000000">
            <w:pPr>
              <w:keepNext/>
              <w:keepLines/>
              <w:spacing w:after="0" w:line="240" w:lineRule="auto"/>
              <w:jc w:val="right"/>
            </w:pPr>
            <w:r>
              <w:rPr>
                <w:sz w:val="18"/>
              </w:rPr>
              <w:t>193,2</w:t>
            </w:r>
          </w:p>
        </w:tc>
      </w:tr>
    </w:tbl>
    <w:p w14:paraId="76A000FA" w14:textId="77777777" w:rsidR="00AF6B6A" w:rsidRDefault="00AF6B6A">
      <w:pPr>
        <w:spacing w:after="0"/>
      </w:pPr>
    </w:p>
    <w:p w14:paraId="73526BDB" w14:textId="77777777" w:rsidR="00AF6B6A" w:rsidRDefault="00000000">
      <w:pPr>
        <w:jc w:val="both"/>
      </w:pPr>
      <w:r>
        <w:t>Troškovi sudskih postupaka (3296) veći su za 93,2% i odnose se na naknade troškova upravnog postupka.</w:t>
      </w:r>
    </w:p>
    <w:p w14:paraId="3C00A646" w14:textId="77777777" w:rsidR="00AF6B6A" w:rsidRDefault="00AF6B6A"/>
    <w:p w14:paraId="7FF78CB0" w14:textId="77777777" w:rsidR="00AF6B6A" w:rsidRDefault="00000000">
      <w:pPr>
        <w:keepNext/>
        <w:spacing w:line="240" w:lineRule="auto"/>
        <w:jc w:val="center"/>
      </w:pPr>
      <w:r>
        <w:rPr>
          <w:sz w:val="28"/>
        </w:rPr>
        <w:lastRenderedPageBreak/>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78AF0C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DD4428"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8C9511"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3F5B2F"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99E1C8"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77947A"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87F42C" w14:textId="77777777" w:rsidR="00AF6B6A" w:rsidRDefault="00000000">
            <w:pPr>
              <w:keepNext/>
              <w:keepLines/>
              <w:spacing w:after="0" w:line="240" w:lineRule="auto"/>
              <w:jc w:val="center"/>
            </w:pPr>
            <w:r>
              <w:rPr>
                <w:b/>
                <w:sz w:val="18"/>
              </w:rPr>
              <w:t>Indeks (%)</w:t>
            </w:r>
          </w:p>
        </w:tc>
      </w:tr>
      <w:tr w:rsidR="00AF6B6A" w14:paraId="14BF1FFA" w14:textId="77777777">
        <w:tblPrEx>
          <w:tblCellMar>
            <w:top w:w="0" w:type="dxa"/>
            <w:bottom w:w="0" w:type="dxa"/>
          </w:tblCellMar>
        </w:tblPrEx>
        <w:trPr>
          <w:cantSplit/>
          <w:trHeight w:val="560"/>
        </w:trPr>
        <w:tc>
          <w:tcPr>
            <w:tcW w:w="700" w:type="dxa"/>
            <w:tcMar>
              <w:top w:w="0" w:type="dxa"/>
              <w:bottom w:w="0" w:type="dxa"/>
            </w:tcMar>
            <w:vAlign w:val="center"/>
          </w:tcPr>
          <w:p w14:paraId="6E7AE19E" w14:textId="77777777" w:rsidR="00AF6B6A" w:rsidRDefault="00000000">
            <w:pPr>
              <w:keepNext/>
              <w:keepLines/>
              <w:spacing w:after="0" w:line="240" w:lineRule="auto"/>
            </w:pPr>
            <w:r>
              <w:rPr>
                <w:sz w:val="18"/>
              </w:rPr>
              <w:t>3423</w:t>
            </w:r>
          </w:p>
        </w:tc>
        <w:tc>
          <w:tcPr>
            <w:tcW w:w="3180" w:type="dxa"/>
            <w:tcMar>
              <w:top w:w="0" w:type="dxa"/>
              <w:bottom w:w="0" w:type="dxa"/>
            </w:tcMar>
            <w:vAlign w:val="center"/>
          </w:tcPr>
          <w:p w14:paraId="7B2E5851" w14:textId="77777777" w:rsidR="00AF6B6A" w:rsidRDefault="00000000">
            <w:pPr>
              <w:keepNext/>
              <w:keepLines/>
              <w:spacing w:after="0" w:line="240" w:lineRule="auto"/>
            </w:pPr>
            <w:r>
              <w:rPr>
                <w:sz w:val="18"/>
              </w:rPr>
              <w:t>Kamate za primljene kredite i zajmove od kreditnih i ostalih financijskih institucija izvan javnog sektora</w:t>
            </w:r>
          </w:p>
        </w:tc>
        <w:tc>
          <w:tcPr>
            <w:tcW w:w="700" w:type="dxa"/>
            <w:tcMar>
              <w:top w:w="0" w:type="dxa"/>
              <w:bottom w:w="0" w:type="dxa"/>
            </w:tcMar>
            <w:vAlign w:val="center"/>
          </w:tcPr>
          <w:p w14:paraId="3BFF0740" w14:textId="77777777" w:rsidR="00AF6B6A" w:rsidRDefault="00000000">
            <w:pPr>
              <w:keepNext/>
              <w:keepLines/>
              <w:spacing w:after="0" w:line="240" w:lineRule="auto"/>
            </w:pPr>
            <w:r>
              <w:rPr>
                <w:sz w:val="18"/>
              </w:rPr>
              <w:t>3423</w:t>
            </w:r>
          </w:p>
        </w:tc>
        <w:tc>
          <w:tcPr>
            <w:tcW w:w="1860" w:type="dxa"/>
            <w:tcMar>
              <w:top w:w="0" w:type="dxa"/>
              <w:bottom w:w="0" w:type="dxa"/>
            </w:tcMar>
            <w:vAlign w:val="center"/>
          </w:tcPr>
          <w:p w14:paraId="41C5E469" w14:textId="77777777" w:rsidR="00AF6B6A" w:rsidRDefault="00000000">
            <w:pPr>
              <w:keepNext/>
              <w:keepLines/>
              <w:spacing w:after="0" w:line="240" w:lineRule="auto"/>
              <w:jc w:val="right"/>
            </w:pPr>
            <w:r>
              <w:rPr>
                <w:sz w:val="18"/>
              </w:rPr>
              <w:t>16.964,46</w:t>
            </w:r>
          </w:p>
        </w:tc>
        <w:tc>
          <w:tcPr>
            <w:tcW w:w="1860" w:type="dxa"/>
            <w:tcMar>
              <w:top w:w="0" w:type="dxa"/>
              <w:bottom w:w="0" w:type="dxa"/>
            </w:tcMar>
            <w:vAlign w:val="center"/>
          </w:tcPr>
          <w:p w14:paraId="5FD878E5" w14:textId="77777777" w:rsidR="00AF6B6A" w:rsidRDefault="00000000">
            <w:pPr>
              <w:keepNext/>
              <w:keepLines/>
              <w:spacing w:after="0" w:line="240" w:lineRule="auto"/>
              <w:jc w:val="right"/>
            </w:pPr>
            <w:r>
              <w:rPr>
                <w:sz w:val="18"/>
              </w:rPr>
              <w:t>47.328,07</w:t>
            </w:r>
          </w:p>
        </w:tc>
        <w:tc>
          <w:tcPr>
            <w:tcW w:w="700" w:type="dxa"/>
            <w:tcMar>
              <w:top w:w="0" w:type="dxa"/>
              <w:bottom w:w="0" w:type="dxa"/>
            </w:tcMar>
            <w:vAlign w:val="center"/>
          </w:tcPr>
          <w:p w14:paraId="0EA2C07C" w14:textId="77777777" w:rsidR="00AF6B6A" w:rsidRDefault="00000000">
            <w:pPr>
              <w:keepNext/>
              <w:keepLines/>
              <w:spacing w:after="0" w:line="240" w:lineRule="auto"/>
              <w:jc w:val="right"/>
            </w:pPr>
            <w:r>
              <w:rPr>
                <w:sz w:val="18"/>
              </w:rPr>
              <w:t>279,0</w:t>
            </w:r>
          </w:p>
        </w:tc>
      </w:tr>
    </w:tbl>
    <w:p w14:paraId="033A85E0" w14:textId="77777777" w:rsidR="00AF6B6A" w:rsidRDefault="00AF6B6A">
      <w:pPr>
        <w:spacing w:after="0"/>
      </w:pPr>
    </w:p>
    <w:p w14:paraId="772EA3DC" w14:textId="77777777" w:rsidR="00AF6B6A" w:rsidRDefault="00000000">
      <w:pPr>
        <w:jc w:val="both"/>
      </w:pPr>
      <w:r>
        <w:t>Kamate za primljene kredite i zajmove od kreditnih i ostalih financijskih institucija izvan javnog sektora (3423) povećane su zbog evidentiranja interkalarne kamate po novoodobrenom kreditu Hrvatske banke za obnovu i razvoj, kao i za kamate za kredite Zagrebačke banke, a koje se odnose na kredite za energetsku obnovu I. i III. OŠ te Dječjeg vrtića - objekt Biškupec.</w:t>
      </w:r>
    </w:p>
    <w:p w14:paraId="535125AF" w14:textId="77777777" w:rsidR="00AF6B6A" w:rsidRDefault="00AF6B6A"/>
    <w:p w14:paraId="6B1F9798" w14:textId="77777777" w:rsidR="00AF6B6A"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1B257B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078713"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D5AA42"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F19551"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FA417A"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AEEBAC"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93CCD3" w14:textId="77777777" w:rsidR="00AF6B6A" w:rsidRDefault="00000000">
            <w:pPr>
              <w:keepNext/>
              <w:keepLines/>
              <w:spacing w:after="0" w:line="240" w:lineRule="auto"/>
              <w:jc w:val="center"/>
            </w:pPr>
            <w:r>
              <w:rPr>
                <w:b/>
                <w:sz w:val="18"/>
              </w:rPr>
              <w:t>Indeks (%)</w:t>
            </w:r>
          </w:p>
        </w:tc>
      </w:tr>
      <w:tr w:rsidR="00AF6B6A" w14:paraId="38D25BE3" w14:textId="77777777">
        <w:tblPrEx>
          <w:tblCellMar>
            <w:top w:w="0" w:type="dxa"/>
            <w:bottom w:w="0" w:type="dxa"/>
          </w:tblCellMar>
        </w:tblPrEx>
        <w:trPr>
          <w:cantSplit/>
          <w:trHeight w:val="560"/>
        </w:trPr>
        <w:tc>
          <w:tcPr>
            <w:tcW w:w="700" w:type="dxa"/>
            <w:tcMar>
              <w:top w:w="0" w:type="dxa"/>
              <w:bottom w:w="0" w:type="dxa"/>
            </w:tcMar>
            <w:vAlign w:val="center"/>
          </w:tcPr>
          <w:p w14:paraId="081281BD" w14:textId="77777777" w:rsidR="00AF6B6A" w:rsidRDefault="00000000">
            <w:pPr>
              <w:keepNext/>
              <w:keepLines/>
              <w:spacing w:after="0" w:line="240" w:lineRule="auto"/>
            </w:pPr>
            <w:r>
              <w:rPr>
                <w:sz w:val="18"/>
              </w:rPr>
              <w:t>35</w:t>
            </w:r>
          </w:p>
        </w:tc>
        <w:tc>
          <w:tcPr>
            <w:tcW w:w="3180" w:type="dxa"/>
            <w:tcMar>
              <w:top w:w="0" w:type="dxa"/>
              <w:bottom w:w="0" w:type="dxa"/>
            </w:tcMar>
            <w:vAlign w:val="center"/>
          </w:tcPr>
          <w:p w14:paraId="4907E78E" w14:textId="77777777" w:rsidR="00AF6B6A" w:rsidRDefault="00000000">
            <w:pPr>
              <w:keepNext/>
              <w:keepLines/>
              <w:spacing w:after="0" w:line="240" w:lineRule="auto"/>
            </w:pPr>
            <w:r>
              <w:rPr>
                <w:sz w:val="18"/>
              </w:rPr>
              <w:t>Subvencije (šifre 351+352+353)</w:t>
            </w:r>
          </w:p>
        </w:tc>
        <w:tc>
          <w:tcPr>
            <w:tcW w:w="700" w:type="dxa"/>
            <w:tcMar>
              <w:top w:w="0" w:type="dxa"/>
              <w:bottom w:w="0" w:type="dxa"/>
            </w:tcMar>
            <w:vAlign w:val="center"/>
          </w:tcPr>
          <w:p w14:paraId="4F4B1FC1" w14:textId="77777777" w:rsidR="00AF6B6A" w:rsidRDefault="00000000">
            <w:pPr>
              <w:keepNext/>
              <w:keepLines/>
              <w:spacing w:after="0" w:line="240" w:lineRule="auto"/>
            </w:pPr>
            <w:r>
              <w:rPr>
                <w:sz w:val="18"/>
              </w:rPr>
              <w:t>35</w:t>
            </w:r>
          </w:p>
        </w:tc>
        <w:tc>
          <w:tcPr>
            <w:tcW w:w="1860" w:type="dxa"/>
            <w:tcMar>
              <w:top w:w="0" w:type="dxa"/>
              <w:bottom w:w="0" w:type="dxa"/>
            </w:tcMar>
            <w:vAlign w:val="center"/>
          </w:tcPr>
          <w:p w14:paraId="100E21E8" w14:textId="77777777" w:rsidR="00AF6B6A" w:rsidRDefault="00000000">
            <w:pPr>
              <w:keepNext/>
              <w:keepLines/>
              <w:spacing w:after="0" w:line="240" w:lineRule="auto"/>
              <w:jc w:val="right"/>
            </w:pPr>
            <w:r>
              <w:rPr>
                <w:sz w:val="18"/>
              </w:rPr>
              <w:t>1.183.185,81</w:t>
            </w:r>
          </w:p>
        </w:tc>
        <w:tc>
          <w:tcPr>
            <w:tcW w:w="1860" w:type="dxa"/>
            <w:tcMar>
              <w:top w:w="0" w:type="dxa"/>
              <w:bottom w:w="0" w:type="dxa"/>
            </w:tcMar>
            <w:vAlign w:val="center"/>
          </w:tcPr>
          <w:p w14:paraId="09377F40" w14:textId="77777777" w:rsidR="00AF6B6A" w:rsidRDefault="00000000">
            <w:pPr>
              <w:keepNext/>
              <w:keepLines/>
              <w:spacing w:after="0" w:line="240" w:lineRule="auto"/>
              <w:jc w:val="right"/>
            </w:pPr>
            <w:r>
              <w:rPr>
                <w:sz w:val="18"/>
              </w:rPr>
              <w:t>1.514.313,78</w:t>
            </w:r>
          </w:p>
        </w:tc>
        <w:tc>
          <w:tcPr>
            <w:tcW w:w="700" w:type="dxa"/>
            <w:tcMar>
              <w:top w:w="0" w:type="dxa"/>
              <w:bottom w:w="0" w:type="dxa"/>
            </w:tcMar>
            <w:vAlign w:val="center"/>
          </w:tcPr>
          <w:p w14:paraId="3119760B" w14:textId="77777777" w:rsidR="00AF6B6A" w:rsidRDefault="00000000">
            <w:pPr>
              <w:keepNext/>
              <w:keepLines/>
              <w:spacing w:after="0" w:line="240" w:lineRule="auto"/>
              <w:jc w:val="right"/>
            </w:pPr>
            <w:r>
              <w:rPr>
                <w:sz w:val="18"/>
              </w:rPr>
              <w:t>128,0</w:t>
            </w:r>
          </w:p>
        </w:tc>
      </w:tr>
    </w:tbl>
    <w:p w14:paraId="791BEFC6" w14:textId="77777777" w:rsidR="00AF6B6A" w:rsidRDefault="00AF6B6A">
      <w:pPr>
        <w:spacing w:after="0"/>
      </w:pPr>
    </w:p>
    <w:p w14:paraId="3FCA76BE" w14:textId="77777777" w:rsidR="00AF6B6A" w:rsidRDefault="00000000">
      <w:r>
        <w:t>Subvencije (35) iznose 1.514.313,78 EUR i 128% su veće u odnosu na prošlu godinu.</w:t>
      </w:r>
    </w:p>
    <w:p w14:paraId="553A1B95" w14:textId="77777777" w:rsidR="00AF6B6A" w:rsidRDefault="00AF6B6A"/>
    <w:p w14:paraId="314104B0" w14:textId="77777777" w:rsidR="00AF6B6A"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CF070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5D9A72"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FADE54"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303155"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E14441"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0411D5"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2CF644" w14:textId="77777777" w:rsidR="00AF6B6A" w:rsidRDefault="00000000">
            <w:pPr>
              <w:keepNext/>
              <w:keepLines/>
              <w:spacing w:after="0" w:line="240" w:lineRule="auto"/>
              <w:jc w:val="center"/>
            </w:pPr>
            <w:r>
              <w:rPr>
                <w:b/>
                <w:sz w:val="18"/>
              </w:rPr>
              <w:t>Indeks (%)</w:t>
            </w:r>
          </w:p>
        </w:tc>
      </w:tr>
      <w:tr w:rsidR="00AF6B6A" w14:paraId="72D19C02" w14:textId="77777777">
        <w:tblPrEx>
          <w:tblCellMar>
            <w:top w:w="0" w:type="dxa"/>
            <w:bottom w:w="0" w:type="dxa"/>
          </w:tblCellMar>
        </w:tblPrEx>
        <w:trPr>
          <w:cantSplit/>
          <w:trHeight w:val="560"/>
        </w:trPr>
        <w:tc>
          <w:tcPr>
            <w:tcW w:w="700" w:type="dxa"/>
            <w:tcMar>
              <w:top w:w="0" w:type="dxa"/>
              <w:bottom w:w="0" w:type="dxa"/>
            </w:tcMar>
            <w:vAlign w:val="center"/>
          </w:tcPr>
          <w:p w14:paraId="0F06E13D" w14:textId="77777777" w:rsidR="00AF6B6A" w:rsidRDefault="00000000">
            <w:pPr>
              <w:keepNext/>
              <w:keepLines/>
              <w:spacing w:after="0" w:line="240" w:lineRule="auto"/>
            </w:pPr>
            <w:r>
              <w:rPr>
                <w:sz w:val="18"/>
              </w:rPr>
              <w:t>3522</w:t>
            </w:r>
          </w:p>
        </w:tc>
        <w:tc>
          <w:tcPr>
            <w:tcW w:w="3180" w:type="dxa"/>
            <w:tcMar>
              <w:top w:w="0" w:type="dxa"/>
              <w:bottom w:w="0" w:type="dxa"/>
            </w:tcMar>
            <w:vAlign w:val="center"/>
          </w:tcPr>
          <w:p w14:paraId="15FB9E14" w14:textId="77777777" w:rsidR="00AF6B6A" w:rsidRDefault="00000000">
            <w:pPr>
              <w:keepNext/>
              <w:keepLines/>
              <w:spacing w:after="0" w:line="240" w:lineRule="auto"/>
            </w:pPr>
            <w:r>
              <w:rPr>
                <w:sz w:val="18"/>
              </w:rPr>
              <w:t>Subvencije trgovačkim društvima i zadrugama izvan javnog sektora</w:t>
            </w:r>
          </w:p>
        </w:tc>
        <w:tc>
          <w:tcPr>
            <w:tcW w:w="700" w:type="dxa"/>
            <w:tcMar>
              <w:top w:w="0" w:type="dxa"/>
              <w:bottom w:w="0" w:type="dxa"/>
            </w:tcMar>
            <w:vAlign w:val="center"/>
          </w:tcPr>
          <w:p w14:paraId="70EC3297" w14:textId="77777777" w:rsidR="00AF6B6A" w:rsidRDefault="00000000">
            <w:pPr>
              <w:keepNext/>
              <w:keepLines/>
              <w:spacing w:after="0" w:line="240" w:lineRule="auto"/>
            </w:pPr>
            <w:r>
              <w:rPr>
                <w:sz w:val="18"/>
              </w:rPr>
              <w:t>3522</w:t>
            </w:r>
          </w:p>
        </w:tc>
        <w:tc>
          <w:tcPr>
            <w:tcW w:w="1860" w:type="dxa"/>
            <w:tcMar>
              <w:top w:w="0" w:type="dxa"/>
              <w:bottom w:w="0" w:type="dxa"/>
            </w:tcMar>
            <w:vAlign w:val="center"/>
          </w:tcPr>
          <w:p w14:paraId="305DB614" w14:textId="77777777" w:rsidR="00AF6B6A" w:rsidRDefault="00000000">
            <w:pPr>
              <w:keepNext/>
              <w:keepLines/>
              <w:spacing w:after="0" w:line="240" w:lineRule="auto"/>
              <w:jc w:val="right"/>
            </w:pPr>
            <w:r>
              <w:rPr>
                <w:sz w:val="18"/>
              </w:rPr>
              <w:t>692.308,28</w:t>
            </w:r>
          </w:p>
        </w:tc>
        <w:tc>
          <w:tcPr>
            <w:tcW w:w="1860" w:type="dxa"/>
            <w:tcMar>
              <w:top w:w="0" w:type="dxa"/>
              <w:bottom w:w="0" w:type="dxa"/>
            </w:tcMar>
            <w:vAlign w:val="center"/>
          </w:tcPr>
          <w:p w14:paraId="161EF469" w14:textId="77777777" w:rsidR="00AF6B6A" w:rsidRDefault="00000000">
            <w:pPr>
              <w:keepNext/>
              <w:keepLines/>
              <w:spacing w:after="0" w:line="240" w:lineRule="auto"/>
              <w:jc w:val="right"/>
            </w:pPr>
            <w:r>
              <w:rPr>
                <w:sz w:val="18"/>
              </w:rPr>
              <w:t>1.187.986,69</w:t>
            </w:r>
          </w:p>
        </w:tc>
        <w:tc>
          <w:tcPr>
            <w:tcW w:w="700" w:type="dxa"/>
            <w:tcMar>
              <w:top w:w="0" w:type="dxa"/>
              <w:bottom w:w="0" w:type="dxa"/>
            </w:tcMar>
            <w:vAlign w:val="center"/>
          </w:tcPr>
          <w:p w14:paraId="3C931D23" w14:textId="77777777" w:rsidR="00AF6B6A" w:rsidRDefault="00000000">
            <w:pPr>
              <w:keepNext/>
              <w:keepLines/>
              <w:spacing w:after="0" w:line="240" w:lineRule="auto"/>
              <w:jc w:val="right"/>
            </w:pPr>
            <w:r>
              <w:rPr>
                <w:sz w:val="18"/>
              </w:rPr>
              <w:t>171,6</w:t>
            </w:r>
          </w:p>
        </w:tc>
      </w:tr>
    </w:tbl>
    <w:p w14:paraId="6E5ADFD3" w14:textId="77777777" w:rsidR="00AF6B6A" w:rsidRDefault="00AF6B6A">
      <w:pPr>
        <w:spacing w:after="0"/>
      </w:pPr>
    </w:p>
    <w:p w14:paraId="2F499F75" w14:textId="77777777" w:rsidR="00AF6B6A" w:rsidRDefault="00000000">
      <w:pPr>
        <w:jc w:val="both"/>
      </w:pPr>
      <w:r>
        <w:t>Subvencije trgovačkim društvima i zadrugama izvan javnog sektora (3522) - ukupno povećanje odnosi se na povećanu subvenciju komunalnog linijskog prijevoza Čistoća d.o.o. prema godišnjem izvješću razlike prihoda i rashoda o obavljenom prijevozu u 2024. i 2025. godini i povećanja mjesečnog iznosa subvencije u 2025. godini.</w:t>
      </w:r>
    </w:p>
    <w:p w14:paraId="36772472" w14:textId="77777777" w:rsidR="00AF6B6A" w:rsidRDefault="00AF6B6A"/>
    <w:p w14:paraId="13BDF432" w14:textId="77777777" w:rsidR="00AF6B6A"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35B8BB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4DE047"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A1F3E3"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161B1D"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1B0499"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8C2BFD"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804A8C" w14:textId="77777777" w:rsidR="00AF6B6A" w:rsidRDefault="00000000">
            <w:pPr>
              <w:keepNext/>
              <w:keepLines/>
              <w:spacing w:after="0" w:line="240" w:lineRule="auto"/>
              <w:jc w:val="center"/>
            </w:pPr>
            <w:r>
              <w:rPr>
                <w:b/>
                <w:sz w:val="18"/>
              </w:rPr>
              <w:t>Indeks (%)</w:t>
            </w:r>
          </w:p>
        </w:tc>
      </w:tr>
      <w:tr w:rsidR="00AF6B6A" w14:paraId="4CEB585E" w14:textId="77777777">
        <w:tblPrEx>
          <w:tblCellMar>
            <w:top w:w="0" w:type="dxa"/>
            <w:bottom w:w="0" w:type="dxa"/>
          </w:tblCellMar>
        </w:tblPrEx>
        <w:trPr>
          <w:cantSplit/>
          <w:trHeight w:val="560"/>
        </w:trPr>
        <w:tc>
          <w:tcPr>
            <w:tcW w:w="700" w:type="dxa"/>
            <w:tcMar>
              <w:top w:w="0" w:type="dxa"/>
              <w:bottom w:w="0" w:type="dxa"/>
            </w:tcMar>
            <w:vAlign w:val="center"/>
          </w:tcPr>
          <w:p w14:paraId="0AF23AF1" w14:textId="77777777" w:rsidR="00AF6B6A" w:rsidRDefault="00000000">
            <w:pPr>
              <w:keepNext/>
              <w:keepLines/>
              <w:spacing w:after="0" w:line="240" w:lineRule="auto"/>
            </w:pPr>
            <w:r>
              <w:rPr>
                <w:sz w:val="18"/>
              </w:rPr>
              <w:t>3523</w:t>
            </w:r>
          </w:p>
        </w:tc>
        <w:tc>
          <w:tcPr>
            <w:tcW w:w="3180" w:type="dxa"/>
            <w:tcMar>
              <w:top w:w="0" w:type="dxa"/>
              <w:bottom w:w="0" w:type="dxa"/>
            </w:tcMar>
            <w:vAlign w:val="center"/>
          </w:tcPr>
          <w:p w14:paraId="09CBF7DC" w14:textId="77777777" w:rsidR="00AF6B6A" w:rsidRDefault="00000000">
            <w:pPr>
              <w:keepNext/>
              <w:keepLines/>
              <w:spacing w:after="0" w:line="240" w:lineRule="auto"/>
            </w:pPr>
            <w:r>
              <w:rPr>
                <w:sz w:val="18"/>
              </w:rPr>
              <w:t>Subvencije poljoprivrednicima i obrtnicima</w:t>
            </w:r>
          </w:p>
        </w:tc>
        <w:tc>
          <w:tcPr>
            <w:tcW w:w="700" w:type="dxa"/>
            <w:tcMar>
              <w:top w:w="0" w:type="dxa"/>
              <w:bottom w:w="0" w:type="dxa"/>
            </w:tcMar>
            <w:vAlign w:val="center"/>
          </w:tcPr>
          <w:p w14:paraId="70F07142" w14:textId="77777777" w:rsidR="00AF6B6A" w:rsidRDefault="00000000">
            <w:pPr>
              <w:keepNext/>
              <w:keepLines/>
              <w:spacing w:after="0" w:line="240" w:lineRule="auto"/>
            </w:pPr>
            <w:r>
              <w:rPr>
                <w:sz w:val="18"/>
              </w:rPr>
              <w:t>3523</w:t>
            </w:r>
          </w:p>
        </w:tc>
        <w:tc>
          <w:tcPr>
            <w:tcW w:w="1860" w:type="dxa"/>
            <w:tcMar>
              <w:top w:w="0" w:type="dxa"/>
              <w:bottom w:w="0" w:type="dxa"/>
            </w:tcMar>
            <w:vAlign w:val="center"/>
          </w:tcPr>
          <w:p w14:paraId="5335F5F9" w14:textId="77777777" w:rsidR="00AF6B6A" w:rsidRDefault="00000000">
            <w:pPr>
              <w:keepNext/>
              <w:keepLines/>
              <w:spacing w:after="0" w:line="240" w:lineRule="auto"/>
              <w:jc w:val="right"/>
            </w:pPr>
            <w:r>
              <w:rPr>
                <w:sz w:val="18"/>
              </w:rPr>
              <w:t>490.877,53</w:t>
            </w:r>
          </w:p>
        </w:tc>
        <w:tc>
          <w:tcPr>
            <w:tcW w:w="1860" w:type="dxa"/>
            <w:tcMar>
              <w:top w:w="0" w:type="dxa"/>
              <w:bottom w:w="0" w:type="dxa"/>
            </w:tcMar>
            <w:vAlign w:val="center"/>
          </w:tcPr>
          <w:p w14:paraId="582A3B2E" w14:textId="77777777" w:rsidR="00AF6B6A" w:rsidRDefault="00000000">
            <w:pPr>
              <w:keepNext/>
              <w:keepLines/>
              <w:spacing w:after="0" w:line="240" w:lineRule="auto"/>
              <w:jc w:val="right"/>
            </w:pPr>
            <w:r>
              <w:rPr>
                <w:sz w:val="18"/>
              </w:rPr>
              <w:t>326.327,09</w:t>
            </w:r>
          </w:p>
        </w:tc>
        <w:tc>
          <w:tcPr>
            <w:tcW w:w="700" w:type="dxa"/>
            <w:tcMar>
              <w:top w:w="0" w:type="dxa"/>
              <w:bottom w:w="0" w:type="dxa"/>
            </w:tcMar>
            <w:vAlign w:val="center"/>
          </w:tcPr>
          <w:p w14:paraId="672D38DD" w14:textId="77777777" w:rsidR="00AF6B6A" w:rsidRDefault="00000000">
            <w:pPr>
              <w:keepNext/>
              <w:keepLines/>
              <w:spacing w:after="0" w:line="240" w:lineRule="auto"/>
              <w:jc w:val="right"/>
            </w:pPr>
            <w:r>
              <w:rPr>
                <w:sz w:val="18"/>
              </w:rPr>
              <w:t>66,5</w:t>
            </w:r>
          </w:p>
        </w:tc>
      </w:tr>
    </w:tbl>
    <w:p w14:paraId="7BA9DF11" w14:textId="77777777" w:rsidR="00AF6B6A" w:rsidRDefault="00AF6B6A">
      <w:pPr>
        <w:spacing w:after="0"/>
      </w:pPr>
    </w:p>
    <w:p w14:paraId="3EDF95F9" w14:textId="77777777" w:rsidR="00AF6B6A" w:rsidRDefault="00000000">
      <w:pPr>
        <w:jc w:val="both"/>
      </w:pPr>
      <w:r>
        <w:lastRenderedPageBreak/>
        <w:t>Subvencije poljoprivrednicima i obrtnicima (3523) manje su u odnosu na prošlu  godinu budući da je izvršeno manje od planiranog prema provedenim javnim pozivima za dodjelu subvencija iz programa poticanja gospodarstva.</w:t>
      </w:r>
    </w:p>
    <w:p w14:paraId="2289429B" w14:textId="77777777" w:rsidR="00AF6B6A" w:rsidRDefault="00AF6B6A"/>
    <w:p w14:paraId="06CD0349" w14:textId="77777777" w:rsidR="00AF6B6A"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49C34C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03CC3C"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BEBC90"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54C4F2"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144038"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F0890D"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C66FFF" w14:textId="77777777" w:rsidR="00AF6B6A" w:rsidRDefault="00000000">
            <w:pPr>
              <w:keepNext/>
              <w:keepLines/>
              <w:spacing w:after="0" w:line="240" w:lineRule="auto"/>
              <w:jc w:val="center"/>
            </w:pPr>
            <w:r>
              <w:rPr>
                <w:b/>
                <w:sz w:val="18"/>
              </w:rPr>
              <w:t>Indeks (%)</w:t>
            </w:r>
          </w:p>
        </w:tc>
      </w:tr>
      <w:tr w:rsidR="00AF6B6A" w14:paraId="3B87FAC3" w14:textId="77777777">
        <w:tblPrEx>
          <w:tblCellMar>
            <w:top w:w="0" w:type="dxa"/>
            <w:bottom w:w="0" w:type="dxa"/>
          </w:tblCellMar>
        </w:tblPrEx>
        <w:trPr>
          <w:cantSplit/>
          <w:trHeight w:val="560"/>
        </w:trPr>
        <w:tc>
          <w:tcPr>
            <w:tcW w:w="700" w:type="dxa"/>
            <w:tcMar>
              <w:top w:w="0" w:type="dxa"/>
              <w:bottom w:w="0" w:type="dxa"/>
            </w:tcMar>
            <w:vAlign w:val="center"/>
          </w:tcPr>
          <w:p w14:paraId="646AD7EB" w14:textId="77777777" w:rsidR="00AF6B6A" w:rsidRDefault="00000000">
            <w:pPr>
              <w:keepNext/>
              <w:keepLines/>
              <w:spacing w:after="0" w:line="240" w:lineRule="auto"/>
            </w:pPr>
            <w:r>
              <w:rPr>
                <w:sz w:val="18"/>
              </w:rPr>
              <w:t>3611</w:t>
            </w:r>
          </w:p>
        </w:tc>
        <w:tc>
          <w:tcPr>
            <w:tcW w:w="3180" w:type="dxa"/>
            <w:tcMar>
              <w:top w:w="0" w:type="dxa"/>
              <w:bottom w:w="0" w:type="dxa"/>
            </w:tcMar>
            <w:vAlign w:val="center"/>
          </w:tcPr>
          <w:p w14:paraId="71EA3892" w14:textId="77777777" w:rsidR="00AF6B6A" w:rsidRDefault="00000000">
            <w:pPr>
              <w:keepNext/>
              <w:keepLines/>
              <w:spacing w:after="0" w:line="240" w:lineRule="auto"/>
            </w:pPr>
            <w:r>
              <w:rPr>
                <w:sz w:val="18"/>
              </w:rPr>
              <w:t>Tekuće pomoći inozemnim vladama</w:t>
            </w:r>
          </w:p>
        </w:tc>
        <w:tc>
          <w:tcPr>
            <w:tcW w:w="700" w:type="dxa"/>
            <w:tcMar>
              <w:top w:w="0" w:type="dxa"/>
              <w:bottom w:w="0" w:type="dxa"/>
            </w:tcMar>
            <w:vAlign w:val="center"/>
          </w:tcPr>
          <w:p w14:paraId="41892FF3" w14:textId="77777777" w:rsidR="00AF6B6A" w:rsidRDefault="00000000">
            <w:pPr>
              <w:keepNext/>
              <w:keepLines/>
              <w:spacing w:after="0" w:line="240" w:lineRule="auto"/>
            </w:pPr>
            <w:r>
              <w:rPr>
                <w:sz w:val="18"/>
              </w:rPr>
              <w:t>3611</w:t>
            </w:r>
          </w:p>
        </w:tc>
        <w:tc>
          <w:tcPr>
            <w:tcW w:w="1860" w:type="dxa"/>
            <w:tcMar>
              <w:top w:w="0" w:type="dxa"/>
              <w:bottom w:w="0" w:type="dxa"/>
            </w:tcMar>
            <w:vAlign w:val="center"/>
          </w:tcPr>
          <w:p w14:paraId="4701614E" w14:textId="77777777" w:rsidR="00AF6B6A" w:rsidRDefault="00000000">
            <w:pPr>
              <w:keepNext/>
              <w:keepLines/>
              <w:spacing w:after="0" w:line="240" w:lineRule="auto"/>
              <w:jc w:val="right"/>
            </w:pPr>
            <w:r>
              <w:rPr>
                <w:sz w:val="18"/>
              </w:rPr>
              <w:t>0,00</w:t>
            </w:r>
          </w:p>
        </w:tc>
        <w:tc>
          <w:tcPr>
            <w:tcW w:w="1860" w:type="dxa"/>
            <w:tcMar>
              <w:top w:w="0" w:type="dxa"/>
              <w:bottom w:w="0" w:type="dxa"/>
            </w:tcMar>
            <w:vAlign w:val="center"/>
          </w:tcPr>
          <w:p w14:paraId="1AFED9FC" w14:textId="77777777" w:rsidR="00AF6B6A" w:rsidRDefault="00000000">
            <w:pPr>
              <w:keepNext/>
              <w:keepLines/>
              <w:spacing w:after="0" w:line="240" w:lineRule="auto"/>
              <w:jc w:val="right"/>
            </w:pPr>
            <w:r>
              <w:rPr>
                <w:sz w:val="18"/>
              </w:rPr>
              <w:t>72.000,00</w:t>
            </w:r>
          </w:p>
        </w:tc>
        <w:tc>
          <w:tcPr>
            <w:tcW w:w="700" w:type="dxa"/>
            <w:tcMar>
              <w:top w:w="0" w:type="dxa"/>
              <w:bottom w:w="0" w:type="dxa"/>
            </w:tcMar>
            <w:vAlign w:val="center"/>
          </w:tcPr>
          <w:p w14:paraId="3DFD5A8F" w14:textId="77777777" w:rsidR="00AF6B6A" w:rsidRDefault="00000000">
            <w:pPr>
              <w:keepNext/>
              <w:keepLines/>
              <w:spacing w:after="0" w:line="240" w:lineRule="auto"/>
              <w:jc w:val="right"/>
            </w:pPr>
            <w:r>
              <w:rPr>
                <w:sz w:val="18"/>
              </w:rPr>
              <w:t>-</w:t>
            </w:r>
          </w:p>
        </w:tc>
      </w:tr>
    </w:tbl>
    <w:p w14:paraId="6AABEA5F" w14:textId="77777777" w:rsidR="00AF6B6A" w:rsidRDefault="00AF6B6A">
      <w:pPr>
        <w:spacing w:after="0"/>
      </w:pPr>
    </w:p>
    <w:p w14:paraId="604B2F0D" w14:textId="77777777" w:rsidR="00AF6B6A" w:rsidRDefault="00000000">
      <w:pPr>
        <w:jc w:val="both"/>
      </w:pPr>
      <w:r>
        <w:t>Tekuće pomoći inozemnim vladama (3611) odnose se  prijenos sredstava predujma za aktivnosti projekta EUI InterACT Green partnerima iz Slovenije, Mađarske i Španjolske (JLS i institucije u EU).</w:t>
      </w:r>
    </w:p>
    <w:p w14:paraId="3F58FF2F" w14:textId="77777777" w:rsidR="00AF6B6A" w:rsidRDefault="00AF6B6A"/>
    <w:p w14:paraId="54427268" w14:textId="77777777" w:rsidR="00AF6B6A"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170FFC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2BF2CD"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0E4EFA"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F8C8FA"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42F7EA"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2D7E5C"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556BA8" w14:textId="77777777" w:rsidR="00AF6B6A" w:rsidRDefault="00000000">
            <w:pPr>
              <w:keepNext/>
              <w:keepLines/>
              <w:spacing w:after="0" w:line="240" w:lineRule="auto"/>
              <w:jc w:val="center"/>
            </w:pPr>
            <w:r>
              <w:rPr>
                <w:b/>
                <w:sz w:val="18"/>
              </w:rPr>
              <w:t>Indeks (%)</w:t>
            </w:r>
          </w:p>
        </w:tc>
      </w:tr>
      <w:tr w:rsidR="00AF6B6A" w14:paraId="46A3B966" w14:textId="77777777">
        <w:tblPrEx>
          <w:tblCellMar>
            <w:top w:w="0" w:type="dxa"/>
            <w:bottom w:w="0" w:type="dxa"/>
          </w:tblCellMar>
        </w:tblPrEx>
        <w:trPr>
          <w:cantSplit/>
          <w:trHeight w:val="560"/>
        </w:trPr>
        <w:tc>
          <w:tcPr>
            <w:tcW w:w="700" w:type="dxa"/>
            <w:tcMar>
              <w:top w:w="0" w:type="dxa"/>
              <w:bottom w:w="0" w:type="dxa"/>
            </w:tcMar>
            <w:vAlign w:val="center"/>
          </w:tcPr>
          <w:p w14:paraId="5B64E621" w14:textId="77777777" w:rsidR="00AF6B6A" w:rsidRDefault="00000000">
            <w:pPr>
              <w:keepNext/>
              <w:keepLines/>
              <w:spacing w:after="0" w:line="240" w:lineRule="auto"/>
            </w:pPr>
            <w:r>
              <w:rPr>
                <w:sz w:val="18"/>
              </w:rPr>
              <w:t>3631</w:t>
            </w:r>
          </w:p>
        </w:tc>
        <w:tc>
          <w:tcPr>
            <w:tcW w:w="3180" w:type="dxa"/>
            <w:tcMar>
              <w:top w:w="0" w:type="dxa"/>
              <w:bottom w:w="0" w:type="dxa"/>
            </w:tcMar>
            <w:vAlign w:val="center"/>
          </w:tcPr>
          <w:p w14:paraId="48DD6823" w14:textId="77777777" w:rsidR="00AF6B6A" w:rsidRDefault="00000000">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14:paraId="70F0F2FC" w14:textId="77777777" w:rsidR="00AF6B6A" w:rsidRDefault="00000000">
            <w:pPr>
              <w:keepNext/>
              <w:keepLines/>
              <w:spacing w:after="0" w:line="240" w:lineRule="auto"/>
            </w:pPr>
            <w:r>
              <w:rPr>
                <w:sz w:val="18"/>
              </w:rPr>
              <w:t>3631</w:t>
            </w:r>
          </w:p>
        </w:tc>
        <w:tc>
          <w:tcPr>
            <w:tcW w:w="1860" w:type="dxa"/>
            <w:tcMar>
              <w:top w:w="0" w:type="dxa"/>
              <w:bottom w:w="0" w:type="dxa"/>
            </w:tcMar>
            <w:vAlign w:val="center"/>
          </w:tcPr>
          <w:p w14:paraId="66A69971" w14:textId="77777777" w:rsidR="00AF6B6A" w:rsidRDefault="00000000">
            <w:pPr>
              <w:keepNext/>
              <w:keepLines/>
              <w:spacing w:after="0" w:line="240" w:lineRule="auto"/>
              <w:jc w:val="right"/>
            </w:pPr>
            <w:r>
              <w:rPr>
                <w:sz w:val="18"/>
              </w:rPr>
              <w:t>106.169,01</w:t>
            </w:r>
          </w:p>
        </w:tc>
        <w:tc>
          <w:tcPr>
            <w:tcW w:w="1860" w:type="dxa"/>
            <w:tcMar>
              <w:top w:w="0" w:type="dxa"/>
              <w:bottom w:w="0" w:type="dxa"/>
            </w:tcMar>
            <w:vAlign w:val="center"/>
          </w:tcPr>
          <w:p w14:paraId="20597379" w14:textId="77777777" w:rsidR="00AF6B6A" w:rsidRDefault="00000000">
            <w:pPr>
              <w:keepNext/>
              <w:keepLines/>
              <w:spacing w:after="0" w:line="240" w:lineRule="auto"/>
              <w:jc w:val="right"/>
            </w:pPr>
            <w:r>
              <w:rPr>
                <w:sz w:val="18"/>
              </w:rPr>
              <w:t>139.794,01</w:t>
            </w:r>
          </w:p>
        </w:tc>
        <w:tc>
          <w:tcPr>
            <w:tcW w:w="700" w:type="dxa"/>
            <w:tcMar>
              <w:top w:w="0" w:type="dxa"/>
              <w:bottom w:w="0" w:type="dxa"/>
            </w:tcMar>
            <w:vAlign w:val="center"/>
          </w:tcPr>
          <w:p w14:paraId="22AFA042" w14:textId="77777777" w:rsidR="00AF6B6A" w:rsidRDefault="00000000">
            <w:pPr>
              <w:keepNext/>
              <w:keepLines/>
              <w:spacing w:after="0" w:line="240" w:lineRule="auto"/>
              <w:jc w:val="right"/>
            </w:pPr>
            <w:r>
              <w:rPr>
                <w:sz w:val="18"/>
              </w:rPr>
              <w:t>131,7</w:t>
            </w:r>
          </w:p>
        </w:tc>
      </w:tr>
    </w:tbl>
    <w:p w14:paraId="120C6B74" w14:textId="77777777" w:rsidR="00AF6B6A" w:rsidRDefault="00AF6B6A">
      <w:pPr>
        <w:spacing w:after="0"/>
      </w:pPr>
    </w:p>
    <w:p w14:paraId="0182FC1D" w14:textId="77777777" w:rsidR="00AF6B6A" w:rsidRDefault="00000000">
      <w:pPr>
        <w:jc w:val="both"/>
      </w:pPr>
      <w:r>
        <w:t>Tekuće pomoći drugom proračunu i izvanproračunskim korisnicima (3631) veće su u odnosu na prošlu godinu zbog povećanje mjesečnog troška sufinanciranja najma srednjih škola (Gospodarska i II. gimnazija) po modelu JPP.</w:t>
      </w:r>
    </w:p>
    <w:p w14:paraId="190E9624" w14:textId="77777777" w:rsidR="00AF6B6A" w:rsidRDefault="00AF6B6A"/>
    <w:p w14:paraId="5FA29FFF" w14:textId="77777777" w:rsidR="00AF6B6A"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B733A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E0D276"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F6F2B3"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C9A45B"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B2FD0B"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A25B7F"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9D026E" w14:textId="77777777" w:rsidR="00AF6B6A" w:rsidRDefault="00000000">
            <w:pPr>
              <w:keepNext/>
              <w:keepLines/>
              <w:spacing w:after="0" w:line="240" w:lineRule="auto"/>
              <w:jc w:val="center"/>
            </w:pPr>
            <w:r>
              <w:rPr>
                <w:b/>
                <w:sz w:val="18"/>
              </w:rPr>
              <w:t>Indeks (%)</w:t>
            </w:r>
          </w:p>
        </w:tc>
      </w:tr>
      <w:tr w:rsidR="00AF6B6A" w14:paraId="0D9D28B4" w14:textId="77777777">
        <w:tblPrEx>
          <w:tblCellMar>
            <w:top w:w="0" w:type="dxa"/>
            <w:bottom w:w="0" w:type="dxa"/>
          </w:tblCellMar>
        </w:tblPrEx>
        <w:trPr>
          <w:cantSplit/>
          <w:trHeight w:val="560"/>
        </w:trPr>
        <w:tc>
          <w:tcPr>
            <w:tcW w:w="700" w:type="dxa"/>
            <w:tcMar>
              <w:top w:w="0" w:type="dxa"/>
              <w:bottom w:w="0" w:type="dxa"/>
            </w:tcMar>
            <w:vAlign w:val="center"/>
          </w:tcPr>
          <w:p w14:paraId="5E92B3C3" w14:textId="77777777" w:rsidR="00AF6B6A" w:rsidRDefault="00000000">
            <w:pPr>
              <w:keepNext/>
              <w:keepLines/>
              <w:spacing w:after="0" w:line="240" w:lineRule="auto"/>
            </w:pPr>
            <w:r>
              <w:rPr>
                <w:sz w:val="18"/>
              </w:rPr>
              <w:t>3632</w:t>
            </w:r>
          </w:p>
        </w:tc>
        <w:tc>
          <w:tcPr>
            <w:tcW w:w="3180" w:type="dxa"/>
            <w:tcMar>
              <w:top w:w="0" w:type="dxa"/>
              <w:bottom w:w="0" w:type="dxa"/>
            </w:tcMar>
            <w:vAlign w:val="center"/>
          </w:tcPr>
          <w:p w14:paraId="3D071F99" w14:textId="77777777" w:rsidR="00AF6B6A" w:rsidRDefault="00000000">
            <w:pPr>
              <w:keepNext/>
              <w:keepLines/>
              <w:spacing w:after="0" w:line="240" w:lineRule="auto"/>
            </w:pPr>
            <w:r>
              <w:rPr>
                <w:sz w:val="18"/>
              </w:rPr>
              <w:t>Kapitalne pomoći drugom proračunu i izvanproračunskim korisnicima</w:t>
            </w:r>
          </w:p>
        </w:tc>
        <w:tc>
          <w:tcPr>
            <w:tcW w:w="700" w:type="dxa"/>
            <w:tcMar>
              <w:top w:w="0" w:type="dxa"/>
              <w:bottom w:w="0" w:type="dxa"/>
            </w:tcMar>
            <w:vAlign w:val="center"/>
          </w:tcPr>
          <w:p w14:paraId="55540FAA" w14:textId="77777777" w:rsidR="00AF6B6A" w:rsidRDefault="00000000">
            <w:pPr>
              <w:keepNext/>
              <w:keepLines/>
              <w:spacing w:after="0" w:line="240" w:lineRule="auto"/>
            </w:pPr>
            <w:r>
              <w:rPr>
                <w:sz w:val="18"/>
              </w:rPr>
              <w:t>3632</w:t>
            </w:r>
          </w:p>
        </w:tc>
        <w:tc>
          <w:tcPr>
            <w:tcW w:w="1860" w:type="dxa"/>
            <w:tcMar>
              <w:top w:w="0" w:type="dxa"/>
              <w:bottom w:w="0" w:type="dxa"/>
            </w:tcMar>
            <w:vAlign w:val="center"/>
          </w:tcPr>
          <w:p w14:paraId="14E9D9DB" w14:textId="77777777" w:rsidR="00AF6B6A" w:rsidRDefault="00000000">
            <w:pPr>
              <w:keepNext/>
              <w:keepLines/>
              <w:spacing w:after="0" w:line="240" w:lineRule="auto"/>
              <w:jc w:val="right"/>
            </w:pPr>
            <w:r>
              <w:rPr>
                <w:sz w:val="18"/>
              </w:rPr>
              <w:t>1.000,00</w:t>
            </w:r>
          </w:p>
        </w:tc>
        <w:tc>
          <w:tcPr>
            <w:tcW w:w="1860" w:type="dxa"/>
            <w:tcMar>
              <w:top w:w="0" w:type="dxa"/>
              <w:bottom w:w="0" w:type="dxa"/>
            </w:tcMar>
            <w:vAlign w:val="center"/>
          </w:tcPr>
          <w:p w14:paraId="6A576C04" w14:textId="77777777" w:rsidR="00AF6B6A" w:rsidRDefault="00000000">
            <w:pPr>
              <w:keepNext/>
              <w:keepLines/>
              <w:spacing w:after="0" w:line="240" w:lineRule="auto"/>
              <w:jc w:val="right"/>
            </w:pPr>
            <w:r>
              <w:rPr>
                <w:sz w:val="18"/>
              </w:rPr>
              <w:t>24.924,80</w:t>
            </w:r>
          </w:p>
        </w:tc>
        <w:tc>
          <w:tcPr>
            <w:tcW w:w="700" w:type="dxa"/>
            <w:tcMar>
              <w:top w:w="0" w:type="dxa"/>
              <w:bottom w:w="0" w:type="dxa"/>
            </w:tcMar>
            <w:vAlign w:val="center"/>
          </w:tcPr>
          <w:p w14:paraId="36D7BDE7" w14:textId="77777777" w:rsidR="00AF6B6A" w:rsidRDefault="00000000">
            <w:pPr>
              <w:keepNext/>
              <w:keepLines/>
              <w:spacing w:after="0" w:line="240" w:lineRule="auto"/>
              <w:jc w:val="right"/>
            </w:pPr>
            <w:r>
              <w:rPr>
                <w:sz w:val="18"/>
              </w:rPr>
              <w:t>2492,5</w:t>
            </w:r>
          </w:p>
        </w:tc>
      </w:tr>
    </w:tbl>
    <w:p w14:paraId="612F3670" w14:textId="77777777" w:rsidR="00AF6B6A" w:rsidRDefault="00AF6B6A">
      <w:pPr>
        <w:spacing w:after="0"/>
      </w:pPr>
    </w:p>
    <w:p w14:paraId="6B48579A" w14:textId="77777777" w:rsidR="00AF6B6A" w:rsidRDefault="00000000">
      <w:pPr>
        <w:jc w:val="both"/>
      </w:pPr>
      <w:r>
        <w:t>Kapitalne pomoći drugom proračunu i izvanproračunskim korisnicima (3632) veće su u odnosu na 2024.godinu zbog refundacija troškova za uređenje apartmana Odmarališta Selce prema sporazumu suvlasnika o zajedničkom održavanju.</w:t>
      </w:r>
    </w:p>
    <w:p w14:paraId="5155A4E2" w14:textId="77777777" w:rsidR="00AF6B6A" w:rsidRDefault="00AF6B6A"/>
    <w:p w14:paraId="5DA34858" w14:textId="77777777" w:rsidR="00AF6B6A" w:rsidRDefault="00000000">
      <w:pPr>
        <w:keepNext/>
        <w:spacing w:line="240" w:lineRule="auto"/>
        <w:jc w:val="center"/>
      </w:pPr>
      <w:r>
        <w:rPr>
          <w:sz w:val="28"/>
        </w:rPr>
        <w:lastRenderedPageBreak/>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6EC6D3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1B346E"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B73F59"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05F594"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AAE3BE"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EFB39D"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CA525E" w14:textId="77777777" w:rsidR="00AF6B6A" w:rsidRDefault="00000000">
            <w:pPr>
              <w:keepNext/>
              <w:keepLines/>
              <w:spacing w:after="0" w:line="240" w:lineRule="auto"/>
              <w:jc w:val="center"/>
            </w:pPr>
            <w:r>
              <w:rPr>
                <w:b/>
                <w:sz w:val="18"/>
              </w:rPr>
              <w:t>Indeks (%)</w:t>
            </w:r>
          </w:p>
        </w:tc>
      </w:tr>
      <w:tr w:rsidR="00AF6B6A" w14:paraId="15C91BCB" w14:textId="77777777">
        <w:tblPrEx>
          <w:tblCellMar>
            <w:top w:w="0" w:type="dxa"/>
            <w:bottom w:w="0" w:type="dxa"/>
          </w:tblCellMar>
        </w:tblPrEx>
        <w:trPr>
          <w:cantSplit/>
          <w:trHeight w:val="560"/>
        </w:trPr>
        <w:tc>
          <w:tcPr>
            <w:tcW w:w="700" w:type="dxa"/>
            <w:tcMar>
              <w:top w:w="0" w:type="dxa"/>
              <w:bottom w:w="0" w:type="dxa"/>
            </w:tcMar>
            <w:vAlign w:val="center"/>
          </w:tcPr>
          <w:p w14:paraId="5C9FC534" w14:textId="77777777" w:rsidR="00AF6B6A" w:rsidRDefault="00000000">
            <w:pPr>
              <w:keepNext/>
              <w:keepLines/>
              <w:spacing w:after="0" w:line="240" w:lineRule="auto"/>
            </w:pPr>
            <w:r>
              <w:rPr>
                <w:sz w:val="18"/>
              </w:rPr>
              <w:t>3661</w:t>
            </w:r>
          </w:p>
        </w:tc>
        <w:tc>
          <w:tcPr>
            <w:tcW w:w="3180" w:type="dxa"/>
            <w:tcMar>
              <w:top w:w="0" w:type="dxa"/>
              <w:bottom w:w="0" w:type="dxa"/>
            </w:tcMar>
            <w:vAlign w:val="center"/>
          </w:tcPr>
          <w:p w14:paraId="785D38B9" w14:textId="77777777" w:rsidR="00AF6B6A" w:rsidRDefault="00000000">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2B56136F" w14:textId="77777777" w:rsidR="00AF6B6A" w:rsidRDefault="00000000">
            <w:pPr>
              <w:keepNext/>
              <w:keepLines/>
              <w:spacing w:after="0" w:line="240" w:lineRule="auto"/>
            </w:pPr>
            <w:r>
              <w:rPr>
                <w:sz w:val="18"/>
              </w:rPr>
              <w:t>3661</w:t>
            </w:r>
          </w:p>
        </w:tc>
        <w:tc>
          <w:tcPr>
            <w:tcW w:w="1860" w:type="dxa"/>
            <w:tcMar>
              <w:top w:w="0" w:type="dxa"/>
              <w:bottom w:w="0" w:type="dxa"/>
            </w:tcMar>
            <w:vAlign w:val="center"/>
          </w:tcPr>
          <w:p w14:paraId="2034577A" w14:textId="77777777" w:rsidR="00AF6B6A" w:rsidRDefault="00000000">
            <w:pPr>
              <w:keepNext/>
              <w:keepLines/>
              <w:spacing w:after="0" w:line="240" w:lineRule="auto"/>
              <w:jc w:val="right"/>
            </w:pPr>
            <w:r>
              <w:rPr>
                <w:sz w:val="18"/>
              </w:rPr>
              <w:t>34.898,04</w:t>
            </w:r>
          </w:p>
        </w:tc>
        <w:tc>
          <w:tcPr>
            <w:tcW w:w="1860" w:type="dxa"/>
            <w:tcMar>
              <w:top w:w="0" w:type="dxa"/>
              <w:bottom w:w="0" w:type="dxa"/>
            </w:tcMar>
            <w:vAlign w:val="center"/>
          </w:tcPr>
          <w:p w14:paraId="130CA81C" w14:textId="77777777" w:rsidR="00AF6B6A" w:rsidRDefault="00000000">
            <w:pPr>
              <w:keepNext/>
              <w:keepLines/>
              <w:spacing w:after="0" w:line="240" w:lineRule="auto"/>
              <w:jc w:val="right"/>
            </w:pPr>
            <w:r>
              <w:rPr>
                <w:sz w:val="18"/>
              </w:rPr>
              <w:t>46.305,70</w:t>
            </w:r>
          </w:p>
        </w:tc>
        <w:tc>
          <w:tcPr>
            <w:tcW w:w="700" w:type="dxa"/>
            <w:tcMar>
              <w:top w:w="0" w:type="dxa"/>
              <w:bottom w:w="0" w:type="dxa"/>
            </w:tcMar>
            <w:vAlign w:val="center"/>
          </w:tcPr>
          <w:p w14:paraId="6799E3E8" w14:textId="77777777" w:rsidR="00AF6B6A" w:rsidRDefault="00000000">
            <w:pPr>
              <w:keepNext/>
              <w:keepLines/>
              <w:spacing w:after="0" w:line="240" w:lineRule="auto"/>
              <w:jc w:val="right"/>
            </w:pPr>
            <w:r>
              <w:rPr>
                <w:sz w:val="18"/>
              </w:rPr>
              <w:t>132,7</w:t>
            </w:r>
          </w:p>
        </w:tc>
      </w:tr>
    </w:tbl>
    <w:p w14:paraId="5F3BEC6C" w14:textId="77777777" w:rsidR="00AF6B6A" w:rsidRDefault="00AF6B6A">
      <w:pPr>
        <w:spacing w:after="0"/>
      </w:pPr>
    </w:p>
    <w:p w14:paraId="18E9D57C" w14:textId="77777777" w:rsidR="00AF6B6A" w:rsidRDefault="00000000">
      <w:pPr>
        <w:jc w:val="both"/>
      </w:pPr>
      <w:r>
        <w:t>Tekuće pomoći proračunskim korisnicima drugih proračuna (3661) iznose 46.305,70 EUR, 32,7% više nego u 2024. godini. Povećanje u odnosu na 2024. godinu odnosi se aktivnosti zdravstvene zaštite za  nabavu opreme  i najam stanova stručnog osoblja iz sporazuma sa Općom bolnicom Varaždin i Domom zdravlja.</w:t>
      </w:r>
    </w:p>
    <w:p w14:paraId="5DAFBF40" w14:textId="77777777" w:rsidR="00AF6B6A" w:rsidRDefault="00AF6B6A"/>
    <w:p w14:paraId="3A48E5D9" w14:textId="77777777" w:rsidR="00AF6B6A"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35FC3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A68961"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F11606"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E6981B"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6618ED"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D72320"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6B5318" w14:textId="77777777" w:rsidR="00AF6B6A" w:rsidRDefault="00000000">
            <w:pPr>
              <w:keepNext/>
              <w:keepLines/>
              <w:spacing w:after="0" w:line="240" w:lineRule="auto"/>
              <w:jc w:val="center"/>
            </w:pPr>
            <w:r>
              <w:rPr>
                <w:b/>
                <w:sz w:val="18"/>
              </w:rPr>
              <w:t>Indeks (%)</w:t>
            </w:r>
          </w:p>
        </w:tc>
      </w:tr>
      <w:tr w:rsidR="00AF6B6A" w14:paraId="2738B279" w14:textId="77777777">
        <w:tblPrEx>
          <w:tblCellMar>
            <w:top w:w="0" w:type="dxa"/>
            <w:bottom w:w="0" w:type="dxa"/>
          </w:tblCellMar>
        </w:tblPrEx>
        <w:trPr>
          <w:cantSplit/>
          <w:trHeight w:val="560"/>
        </w:trPr>
        <w:tc>
          <w:tcPr>
            <w:tcW w:w="700" w:type="dxa"/>
            <w:tcMar>
              <w:top w:w="0" w:type="dxa"/>
              <w:bottom w:w="0" w:type="dxa"/>
            </w:tcMar>
            <w:vAlign w:val="center"/>
          </w:tcPr>
          <w:p w14:paraId="1BCB4D0D" w14:textId="77777777" w:rsidR="00AF6B6A" w:rsidRDefault="00000000">
            <w:pPr>
              <w:keepNext/>
              <w:keepLines/>
              <w:spacing w:after="0" w:line="240" w:lineRule="auto"/>
            </w:pPr>
            <w:r>
              <w:rPr>
                <w:sz w:val="18"/>
              </w:rPr>
              <w:t>3662</w:t>
            </w:r>
          </w:p>
        </w:tc>
        <w:tc>
          <w:tcPr>
            <w:tcW w:w="3180" w:type="dxa"/>
            <w:tcMar>
              <w:top w:w="0" w:type="dxa"/>
              <w:bottom w:w="0" w:type="dxa"/>
            </w:tcMar>
            <w:vAlign w:val="center"/>
          </w:tcPr>
          <w:p w14:paraId="6157B873" w14:textId="77777777" w:rsidR="00AF6B6A" w:rsidRDefault="00000000">
            <w:pPr>
              <w:keepNext/>
              <w:keepLines/>
              <w:spacing w:after="0" w:line="240" w:lineRule="auto"/>
            </w:pPr>
            <w:r>
              <w:rPr>
                <w:sz w:val="18"/>
              </w:rPr>
              <w:t>Kapitalne pomoći proračunskim korisnicima drugih proračuna</w:t>
            </w:r>
          </w:p>
        </w:tc>
        <w:tc>
          <w:tcPr>
            <w:tcW w:w="700" w:type="dxa"/>
            <w:tcMar>
              <w:top w:w="0" w:type="dxa"/>
              <w:bottom w:w="0" w:type="dxa"/>
            </w:tcMar>
            <w:vAlign w:val="center"/>
          </w:tcPr>
          <w:p w14:paraId="7D4BED9D" w14:textId="77777777" w:rsidR="00AF6B6A" w:rsidRDefault="00000000">
            <w:pPr>
              <w:keepNext/>
              <w:keepLines/>
              <w:spacing w:after="0" w:line="240" w:lineRule="auto"/>
            </w:pPr>
            <w:r>
              <w:rPr>
                <w:sz w:val="18"/>
              </w:rPr>
              <w:t>3662</w:t>
            </w:r>
          </w:p>
        </w:tc>
        <w:tc>
          <w:tcPr>
            <w:tcW w:w="1860" w:type="dxa"/>
            <w:tcMar>
              <w:top w:w="0" w:type="dxa"/>
              <w:bottom w:w="0" w:type="dxa"/>
            </w:tcMar>
            <w:vAlign w:val="center"/>
          </w:tcPr>
          <w:p w14:paraId="64E79812" w14:textId="77777777" w:rsidR="00AF6B6A" w:rsidRDefault="00000000">
            <w:pPr>
              <w:keepNext/>
              <w:keepLines/>
              <w:spacing w:after="0" w:line="240" w:lineRule="auto"/>
              <w:jc w:val="right"/>
            </w:pPr>
            <w:r>
              <w:rPr>
                <w:sz w:val="18"/>
              </w:rPr>
              <w:t>0,00</w:t>
            </w:r>
          </w:p>
        </w:tc>
        <w:tc>
          <w:tcPr>
            <w:tcW w:w="1860" w:type="dxa"/>
            <w:tcMar>
              <w:top w:w="0" w:type="dxa"/>
              <w:bottom w:w="0" w:type="dxa"/>
            </w:tcMar>
            <w:vAlign w:val="center"/>
          </w:tcPr>
          <w:p w14:paraId="23C1C415" w14:textId="77777777" w:rsidR="00AF6B6A" w:rsidRDefault="00000000">
            <w:pPr>
              <w:keepNext/>
              <w:keepLines/>
              <w:spacing w:after="0" w:line="240" w:lineRule="auto"/>
              <w:jc w:val="right"/>
            </w:pPr>
            <w:r>
              <w:rPr>
                <w:sz w:val="18"/>
              </w:rPr>
              <w:t>341.692,38</w:t>
            </w:r>
          </w:p>
        </w:tc>
        <w:tc>
          <w:tcPr>
            <w:tcW w:w="700" w:type="dxa"/>
            <w:tcMar>
              <w:top w:w="0" w:type="dxa"/>
              <w:bottom w:w="0" w:type="dxa"/>
            </w:tcMar>
            <w:vAlign w:val="center"/>
          </w:tcPr>
          <w:p w14:paraId="5B8C0F6D" w14:textId="77777777" w:rsidR="00AF6B6A" w:rsidRDefault="00000000">
            <w:pPr>
              <w:keepNext/>
              <w:keepLines/>
              <w:spacing w:after="0" w:line="240" w:lineRule="auto"/>
              <w:jc w:val="right"/>
            </w:pPr>
            <w:r>
              <w:rPr>
                <w:sz w:val="18"/>
              </w:rPr>
              <w:t>-</w:t>
            </w:r>
          </w:p>
        </w:tc>
      </w:tr>
    </w:tbl>
    <w:p w14:paraId="452398AF" w14:textId="77777777" w:rsidR="00AF6B6A" w:rsidRDefault="00AF6B6A">
      <w:pPr>
        <w:spacing w:after="0"/>
      </w:pPr>
    </w:p>
    <w:p w14:paraId="01A54B6B" w14:textId="77777777" w:rsidR="00AF6B6A" w:rsidRDefault="00000000">
      <w:pPr>
        <w:jc w:val="both"/>
      </w:pPr>
      <w:r>
        <w:t>Kapitalne pomoći proračunskim korisnicima drugih proračuna (3662) veće su u odnosu na 2024. godinu zbog isplata kapitalne pomoći FOI za sufinanciranje Grada Varaždina u prihvatljivim troškovima projekta Regionalni centar za predinkubaciju u pametnoj industriji.</w:t>
      </w:r>
    </w:p>
    <w:p w14:paraId="3D4AF32E" w14:textId="77777777" w:rsidR="00AF6B6A" w:rsidRDefault="00AF6B6A"/>
    <w:p w14:paraId="7F600519" w14:textId="77777777" w:rsidR="00AF6B6A"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F7631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B09023"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965287"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E8C747"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31DE83"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321AC3"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397625" w14:textId="77777777" w:rsidR="00AF6B6A" w:rsidRDefault="00000000">
            <w:pPr>
              <w:keepNext/>
              <w:keepLines/>
              <w:spacing w:after="0" w:line="240" w:lineRule="auto"/>
              <w:jc w:val="center"/>
            </w:pPr>
            <w:r>
              <w:rPr>
                <w:b/>
                <w:sz w:val="18"/>
              </w:rPr>
              <w:t>Indeks (%)</w:t>
            </w:r>
          </w:p>
        </w:tc>
      </w:tr>
      <w:tr w:rsidR="00AF6B6A" w14:paraId="1E44C0F3" w14:textId="77777777">
        <w:tblPrEx>
          <w:tblCellMar>
            <w:top w:w="0" w:type="dxa"/>
            <w:bottom w:w="0" w:type="dxa"/>
          </w:tblCellMar>
        </w:tblPrEx>
        <w:trPr>
          <w:cantSplit/>
          <w:trHeight w:val="560"/>
        </w:trPr>
        <w:tc>
          <w:tcPr>
            <w:tcW w:w="700" w:type="dxa"/>
            <w:tcMar>
              <w:top w:w="0" w:type="dxa"/>
              <w:bottom w:w="0" w:type="dxa"/>
            </w:tcMar>
            <w:vAlign w:val="center"/>
          </w:tcPr>
          <w:p w14:paraId="5467F0B4" w14:textId="77777777" w:rsidR="00AF6B6A" w:rsidRDefault="00000000">
            <w:pPr>
              <w:keepNext/>
              <w:keepLines/>
              <w:spacing w:after="0" w:line="240" w:lineRule="auto"/>
            </w:pPr>
            <w:r>
              <w:rPr>
                <w:sz w:val="18"/>
              </w:rPr>
              <w:t>367</w:t>
            </w:r>
          </w:p>
        </w:tc>
        <w:tc>
          <w:tcPr>
            <w:tcW w:w="3180" w:type="dxa"/>
            <w:tcMar>
              <w:top w:w="0" w:type="dxa"/>
              <w:bottom w:w="0" w:type="dxa"/>
            </w:tcMar>
            <w:vAlign w:val="center"/>
          </w:tcPr>
          <w:p w14:paraId="3289FBAA" w14:textId="77777777" w:rsidR="00AF6B6A" w:rsidRDefault="00000000">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14:paraId="72886D2A" w14:textId="77777777" w:rsidR="00AF6B6A" w:rsidRDefault="00000000">
            <w:pPr>
              <w:keepNext/>
              <w:keepLines/>
              <w:spacing w:after="0" w:line="240" w:lineRule="auto"/>
            </w:pPr>
            <w:r>
              <w:rPr>
                <w:sz w:val="18"/>
              </w:rPr>
              <w:t>367</w:t>
            </w:r>
          </w:p>
        </w:tc>
        <w:tc>
          <w:tcPr>
            <w:tcW w:w="1860" w:type="dxa"/>
            <w:tcMar>
              <w:top w:w="0" w:type="dxa"/>
              <w:bottom w:w="0" w:type="dxa"/>
            </w:tcMar>
            <w:vAlign w:val="center"/>
          </w:tcPr>
          <w:p w14:paraId="76D0DE3D" w14:textId="77777777" w:rsidR="00AF6B6A" w:rsidRDefault="00000000">
            <w:pPr>
              <w:keepNext/>
              <w:keepLines/>
              <w:spacing w:after="0" w:line="240" w:lineRule="auto"/>
              <w:jc w:val="right"/>
            </w:pPr>
            <w:r>
              <w:rPr>
                <w:sz w:val="18"/>
              </w:rPr>
              <w:t>16.312.141,59</w:t>
            </w:r>
          </w:p>
        </w:tc>
        <w:tc>
          <w:tcPr>
            <w:tcW w:w="1860" w:type="dxa"/>
            <w:tcMar>
              <w:top w:w="0" w:type="dxa"/>
              <w:bottom w:w="0" w:type="dxa"/>
            </w:tcMar>
            <w:vAlign w:val="center"/>
          </w:tcPr>
          <w:p w14:paraId="45EABF46" w14:textId="77777777" w:rsidR="00AF6B6A" w:rsidRDefault="00000000">
            <w:pPr>
              <w:keepNext/>
              <w:keepLines/>
              <w:spacing w:after="0" w:line="240" w:lineRule="auto"/>
              <w:jc w:val="right"/>
            </w:pPr>
            <w:r>
              <w:rPr>
                <w:sz w:val="18"/>
              </w:rPr>
              <w:t>21.110.045,26</w:t>
            </w:r>
          </w:p>
        </w:tc>
        <w:tc>
          <w:tcPr>
            <w:tcW w:w="700" w:type="dxa"/>
            <w:tcMar>
              <w:top w:w="0" w:type="dxa"/>
              <w:bottom w:w="0" w:type="dxa"/>
            </w:tcMar>
            <w:vAlign w:val="center"/>
          </w:tcPr>
          <w:p w14:paraId="59B8B6AC" w14:textId="77777777" w:rsidR="00AF6B6A" w:rsidRDefault="00000000">
            <w:pPr>
              <w:keepNext/>
              <w:keepLines/>
              <w:spacing w:after="0" w:line="240" w:lineRule="auto"/>
              <w:jc w:val="right"/>
            </w:pPr>
            <w:r>
              <w:rPr>
                <w:sz w:val="18"/>
              </w:rPr>
              <w:t>129,4</w:t>
            </w:r>
          </w:p>
        </w:tc>
      </w:tr>
    </w:tbl>
    <w:p w14:paraId="4EAAE34C" w14:textId="77777777" w:rsidR="00AF6B6A" w:rsidRDefault="00AF6B6A">
      <w:pPr>
        <w:spacing w:after="0"/>
      </w:pPr>
    </w:p>
    <w:p w14:paraId="0CDEBD38" w14:textId="77777777" w:rsidR="00AF6B6A" w:rsidRDefault="00000000">
      <w:pPr>
        <w:jc w:val="both"/>
      </w:pPr>
      <w:r>
        <w:t>Prijenosi proračunskim korisnicima iz nadležnog proračuna za financiranje redovne djelatnosti (367) iznose 21.110.045,26 EUR. </w:t>
      </w:r>
    </w:p>
    <w:p w14:paraId="580DC251" w14:textId="77777777" w:rsidR="00AF6B6A" w:rsidRDefault="00000000">
      <w:pPr>
        <w:jc w:val="both"/>
      </w:pPr>
      <w:r>
        <w:t>Proračunski korisnici Grada Varaždina nabrojeni su u nastavku, kao i svi iznosi prijenosa po korisnicima: </w:t>
      </w:r>
    </w:p>
    <w:tbl>
      <w:tblPr>
        <w:tblStyle w:val="TableGrid"/>
        <w:tblW w:w="3626" w:type="pct"/>
        <w:tblLook w:val="04A0" w:firstRow="1" w:lastRow="0" w:firstColumn="1" w:lastColumn="0" w:noHBand="0" w:noVBand="1"/>
      </w:tblPr>
      <w:tblGrid>
        <w:gridCol w:w="1217"/>
        <w:gridCol w:w="2223"/>
        <w:gridCol w:w="1596"/>
        <w:gridCol w:w="1536"/>
      </w:tblGrid>
      <w:tr w:rsidR="00AF6B6A" w14:paraId="046AE98D" w14:textId="77777777">
        <w:trPr>
          <w:trHeight w:val="1886"/>
        </w:trPr>
        <w:tc>
          <w:tcPr>
            <w:tcW w:w="669" w:type="pct"/>
            <w:vAlign w:val="center"/>
          </w:tcPr>
          <w:p w14:paraId="22E48760" w14:textId="77777777" w:rsidR="00AF6B6A" w:rsidRDefault="00000000">
            <w:r>
              <w:t>Red.br. </w:t>
            </w:r>
          </w:p>
        </w:tc>
        <w:tc>
          <w:tcPr>
            <w:tcW w:w="1852" w:type="pct"/>
            <w:vAlign w:val="center"/>
          </w:tcPr>
          <w:p w14:paraId="342A4192" w14:textId="77777777" w:rsidR="00AF6B6A" w:rsidRDefault="00000000">
            <w:r>
              <w:t>Naziv proračunskog korisnika</w:t>
            </w:r>
          </w:p>
        </w:tc>
        <w:tc>
          <w:tcPr>
            <w:tcW w:w="1307" w:type="pct"/>
            <w:vAlign w:val="center"/>
          </w:tcPr>
          <w:p w14:paraId="542253C2" w14:textId="77777777" w:rsidR="00AF6B6A" w:rsidRDefault="00000000">
            <w:r>
              <w:t>Prijenosi proračunskim korisnicima iz nadležnog proračuna za financiranje rashoda poslovanja</w:t>
            </w:r>
          </w:p>
        </w:tc>
        <w:tc>
          <w:tcPr>
            <w:tcW w:w="1169" w:type="pct"/>
            <w:vAlign w:val="center"/>
          </w:tcPr>
          <w:p w14:paraId="43F40B86" w14:textId="77777777" w:rsidR="00AF6B6A" w:rsidRDefault="00000000">
            <w:r>
              <w:t>Prijenosi proračunskim korisnicma iz nadležnog proračuna za nabavu nefinancijske imovine</w:t>
            </w:r>
          </w:p>
        </w:tc>
      </w:tr>
      <w:tr w:rsidR="00AF6B6A" w14:paraId="3301AB18" w14:textId="77777777">
        <w:trPr>
          <w:trHeight w:val="542"/>
        </w:trPr>
        <w:tc>
          <w:tcPr>
            <w:tcW w:w="669" w:type="pct"/>
            <w:vAlign w:val="center"/>
          </w:tcPr>
          <w:p w14:paraId="148E7FD8" w14:textId="77777777" w:rsidR="00AF6B6A" w:rsidRDefault="00000000">
            <w:r>
              <w:lastRenderedPageBreak/>
              <w:t>1.</w:t>
            </w:r>
          </w:p>
        </w:tc>
        <w:tc>
          <w:tcPr>
            <w:tcW w:w="1852" w:type="pct"/>
            <w:vAlign w:val="center"/>
          </w:tcPr>
          <w:p w14:paraId="39CB4F18" w14:textId="77777777" w:rsidR="00AF6B6A" w:rsidRDefault="00000000">
            <w:r>
              <w:t>Gradski muzej Varaždin</w:t>
            </w:r>
          </w:p>
        </w:tc>
        <w:tc>
          <w:tcPr>
            <w:tcW w:w="1307" w:type="pct"/>
            <w:vAlign w:val="center"/>
          </w:tcPr>
          <w:p w14:paraId="47A62C73" w14:textId="77777777" w:rsidR="00AF6B6A" w:rsidRDefault="00000000">
            <w:r>
              <w:t>1.437.582,48</w:t>
            </w:r>
          </w:p>
        </w:tc>
        <w:tc>
          <w:tcPr>
            <w:tcW w:w="1169" w:type="pct"/>
            <w:vAlign w:val="center"/>
          </w:tcPr>
          <w:p w14:paraId="4D0424B9" w14:textId="77777777" w:rsidR="00AF6B6A" w:rsidRDefault="00000000">
            <w:r>
              <w:t>374.626,59</w:t>
            </w:r>
          </w:p>
        </w:tc>
      </w:tr>
      <w:tr w:rsidR="00AF6B6A" w14:paraId="284A8810" w14:textId="77777777">
        <w:trPr>
          <w:trHeight w:val="542"/>
        </w:trPr>
        <w:tc>
          <w:tcPr>
            <w:tcW w:w="669" w:type="pct"/>
            <w:vAlign w:val="center"/>
          </w:tcPr>
          <w:p w14:paraId="620D820C" w14:textId="77777777" w:rsidR="00AF6B6A" w:rsidRDefault="00000000">
            <w:r>
              <w:t>2.</w:t>
            </w:r>
          </w:p>
        </w:tc>
        <w:tc>
          <w:tcPr>
            <w:tcW w:w="1852" w:type="pct"/>
            <w:vAlign w:val="center"/>
          </w:tcPr>
          <w:p w14:paraId="3B42E764" w14:textId="77777777" w:rsidR="00AF6B6A" w:rsidRDefault="00000000">
            <w:r>
              <w:t>Gradska knjižnica Varaždin</w:t>
            </w:r>
          </w:p>
        </w:tc>
        <w:tc>
          <w:tcPr>
            <w:tcW w:w="1307" w:type="pct"/>
            <w:vAlign w:val="center"/>
          </w:tcPr>
          <w:p w14:paraId="10B3C9CA" w14:textId="77777777" w:rsidR="00AF6B6A" w:rsidRDefault="00000000">
            <w:r>
              <w:t>   811.691,09</w:t>
            </w:r>
          </w:p>
        </w:tc>
        <w:tc>
          <w:tcPr>
            <w:tcW w:w="1169" w:type="pct"/>
            <w:vAlign w:val="center"/>
          </w:tcPr>
          <w:p w14:paraId="5C50F16B" w14:textId="77777777" w:rsidR="00AF6B6A" w:rsidRDefault="00000000">
            <w:r>
              <w:t>  37.288,27</w:t>
            </w:r>
          </w:p>
        </w:tc>
      </w:tr>
      <w:tr w:rsidR="00AF6B6A" w14:paraId="61D5F917" w14:textId="77777777">
        <w:trPr>
          <w:trHeight w:val="683"/>
        </w:trPr>
        <w:tc>
          <w:tcPr>
            <w:tcW w:w="669" w:type="pct"/>
            <w:vAlign w:val="center"/>
          </w:tcPr>
          <w:p w14:paraId="4E52A0C2" w14:textId="77777777" w:rsidR="00AF6B6A" w:rsidRDefault="00000000">
            <w:r>
              <w:t>3.</w:t>
            </w:r>
          </w:p>
        </w:tc>
        <w:tc>
          <w:tcPr>
            <w:tcW w:w="1852" w:type="pct"/>
            <w:vAlign w:val="center"/>
          </w:tcPr>
          <w:p w14:paraId="52EE0F3D" w14:textId="77777777" w:rsidR="00AF6B6A" w:rsidRDefault="00000000">
            <w:r>
              <w:t>Hrvatsko narodno kazalište Varaždin</w:t>
            </w:r>
          </w:p>
        </w:tc>
        <w:tc>
          <w:tcPr>
            <w:tcW w:w="1307" w:type="pct"/>
            <w:vAlign w:val="center"/>
          </w:tcPr>
          <w:p w14:paraId="11CB6C0F" w14:textId="77777777" w:rsidR="00AF6B6A" w:rsidRDefault="00000000">
            <w:r>
              <w:t>2.483.333,95</w:t>
            </w:r>
          </w:p>
        </w:tc>
        <w:tc>
          <w:tcPr>
            <w:tcW w:w="1169" w:type="pct"/>
            <w:vAlign w:val="center"/>
          </w:tcPr>
          <w:p w14:paraId="43FD2735" w14:textId="77777777" w:rsidR="00AF6B6A" w:rsidRDefault="00000000">
            <w:r>
              <w:t>274.284,38</w:t>
            </w:r>
          </w:p>
        </w:tc>
      </w:tr>
      <w:tr w:rsidR="00AF6B6A" w14:paraId="3D74DD7B" w14:textId="77777777">
        <w:trPr>
          <w:trHeight w:val="542"/>
        </w:trPr>
        <w:tc>
          <w:tcPr>
            <w:tcW w:w="669" w:type="pct"/>
            <w:vAlign w:val="center"/>
          </w:tcPr>
          <w:p w14:paraId="68C1C337" w14:textId="77777777" w:rsidR="00AF6B6A" w:rsidRDefault="00000000">
            <w:r>
              <w:t>4.</w:t>
            </w:r>
          </w:p>
        </w:tc>
        <w:tc>
          <w:tcPr>
            <w:tcW w:w="1852" w:type="pct"/>
            <w:vAlign w:val="center"/>
          </w:tcPr>
          <w:p w14:paraId="6C6B0957" w14:textId="77777777" w:rsidR="00AF6B6A" w:rsidRDefault="00000000">
            <w:r>
              <w:t>Dječji vrtić "Varaždin"</w:t>
            </w:r>
          </w:p>
        </w:tc>
        <w:tc>
          <w:tcPr>
            <w:tcW w:w="1307" w:type="pct"/>
            <w:vAlign w:val="center"/>
          </w:tcPr>
          <w:p w14:paraId="6152522E" w14:textId="77777777" w:rsidR="00AF6B6A" w:rsidRDefault="00000000">
            <w:r>
              <w:t>4.909.730,36</w:t>
            </w:r>
          </w:p>
        </w:tc>
        <w:tc>
          <w:tcPr>
            <w:tcW w:w="1169" w:type="pct"/>
            <w:vAlign w:val="center"/>
          </w:tcPr>
          <w:p w14:paraId="2E27870E" w14:textId="77777777" w:rsidR="00AF6B6A" w:rsidRDefault="00000000">
            <w:r>
              <w:t>  40.637,50</w:t>
            </w:r>
          </w:p>
        </w:tc>
      </w:tr>
      <w:tr w:rsidR="00AF6B6A" w14:paraId="7C43EAEC" w14:textId="77777777">
        <w:trPr>
          <w:trHeight w:val="542"/>
        </w:trPr>
        <w:tc>
          <w:tcPr>
            <w:tcW w:w="669" w:type="pct"/>
            <w:vAlign w:val="center"/>
          </w:tcPr>
          <w:p w14:paraId="476196C4" w14:textId="77777777" w:rsidR="00AF6B6A" w:rsidRDefault="00000000">
            <w:r>
              <w:t>5.</w:t>
            </w:r>
          </w:p>
        </w:tc>
        <w:tc>
          <w:tcPr>
            <w:tcW w:w="1852" w:type="pct"/>
            <w:vAlign w:val="center"/>
          </w:tcPr>
          <w:p w14:paraId="05E1CA4D" w14:textId="77777777" w:rsidR="00AF6B6A" w:rsidRDefault="00000000">
            <w:r>
              <w:t>I. Osnovna škola Varaždin</w:t>
            </w:r>
          </w:p>
        </w:tc>
        <w:tc>
          <w:tcPr>
            <w:tcW w:w="1307" w:type="pct"/>
            <w:vAlign w:val="center"/>
          </w:tcPr>
          <w:p w14:paraId="421AB16E" w14:textId="77777777" w:rsidR="00AF6B6A" w:rsidRDefault="00000000">
            <w:r>
              <w:t>   395.026,34</w:t>
            </w:r>
          </w:p>
        </w:tc>
        <w:tc>
          <w:tcPr>
            <w:tcW w:w="1169" w:type="pct"/>
            <w:vAlign w:val="center"/>
          </w:tcPr>
          <w:p w14:paraId="1515B16A" w14:textId="77777777" w:rsidR="00AF6B6A" w:rsidRDefault="00000000">
            <w:r>
              <w:t>  45.743,50</w:t>
            </w:r>
          </w:p>
        </w:tc>
      </w:tr>
      <w:tr w:rsidR="00AF6B6A" w14:paraId="008B9C21" w14:textId="77777777">
        <w:trPr>
          <w:trHeight w:val="542"/>
        </w:trPr>
        <w:tc>
          <w:tcPr>
            <w:tcW w:w="669" w:type="pct"/>
            <w:vAlign w:val="center"/>
          </w:tcPr>
          <w:p w14:paraId="54986182" w14:textId="77777777" w:rsidR="00AF6B6A" w:rsidRDefault="00000000">
            <w:r>
              <w:t>6.</w:t>
            </w:r>
          </w:p>
        </w:tc>
        <w:tc>
          <w:tcPr>
            <w:tcW w:w="1852" w:type="pct"/>
            <w:vAlign w:val="center"/>
          </w:tcPr>
          <w:p w14:paraId="74E1A924" w14:textId="77777777" w:rsidR="00AF6B6A" w:rsidRDefault="00000000">
            <w:r>
              <w:t>II. Osnovna škola Varaždin</w:t>
            </w:r>
          </w:p>
        </w:tc>
        <w:tc>
          <w:tcPr>
            <w:tcW w:w="1307" w:type="pct"/>
            <w:vAlign w:val="center"/>
          </w:tcPr>
          <w:p w14:paraId="1022C005" w14:textId="77777777" w:rsidR="00AF6B6A" w:rsidRDefault="00000000">
            <w:r>
              <w:t>   609.065,52</w:t>
            </w:r>
          </w:p>
        </w:tc>
        <w:tc>
          <w:tcPr>
            <w:tcW w:w="1169" w:type="pct"/>
            <w:vAlign w:val="center"/>
          </w:tcPr>
          <w:p w14:paraId="202D2FB3" w14:textId="77777777" w:rsidR="00AF6B6A" w:rsidRDefault="00000000">
            <w:r>
              <w:t>  55.908,90</w:t>
            </w:r>
          </w:p>
        </w:tc>
      </w:tr>
      <w:tr w:rsidR="00AF6B6A" w14:paraId="7F39C140" w14:textId="77777777">
        <w:trPr>
          <w:trHeight w:val="542"/>
        </w:trPr>
        <w:tc>
          <w:tcPr>
            <w:tcW w:w="669" w:type="pct"/>
            <w:vAlign w:val="center"/>
          </w:tcPr>
          <w:p w14:paraId="06F15703" w14:textId="77777777" w:rsidR="00AF6B6A" w:rsidRDefault="00000000">
            <w:r>
              <w:t>7.</w:t>
            </w:r>
          </w:p>
        </w:tc>
        <w:tc>
          <w:tcPr>
            <w:tcW w:w="1852" w:type="pct"/>
            <w:vAlign w:val="center"/>
          </w:tcPr>
          <w:p w14:paraId="73A3CA55" w14:textId="77777777" w:rsidR="00AF6B6A" w:rsidRDefault="00000000">
            <w:r>
              <w:t>III. Osnovna škola Varaždin</w:t>
            </w:r>
          </w:p>
        </w:tc>
        <w:tc>
          <w:tcPr>
            <w:tcW w:w="1307" w:type="pct"/>
            <w:vAlign w:val="center"/>
          </w:tcPr>
          <w:p w14:paraId="6D9605B7" w14:textId="77777777" w:rsidR="00AF6B6A" w:rsidRDefault="00000000">
            <w:r>
              <w:t>   340.413,94</w:t>
            </w:r>
          </w:p>
        </w:tc>
        <w:tc>
          <w:tcPr>
            <w:tcW w:w="1169" w:type="pct"/>
            <w:vAlign w:val="center"/>
          </w:tcPr>
          <w:p w14:paraId="2F663631" w14:textId="77777777" w:rsidR="00AF6B6A" w:rsidRDefault="00000000">
            <w:r>
              <w:t>  16.311,68</w:t>
            </w:r>
          </w:p>
        </w:tc>
      </w:tr>
      <w:tr w:rsidR="00AF6B6A" w14:paraId="19BC1234" w14:textId="77777777">
        <w:trPr>
          <w:trHeight w:val="542"/>
        </w:trPr>
        <w:tc>
          <w:tcPr>
            <w:tcW w:w="669" w:type="pct"/>
            <w:vAlign w:val="center"/>
          </w:tcPr>
          <w:p w14:paraId="65B7B114" w14:textId="77777777" w:rsidR="00AF6B6A" w:rsidRDefault="00000000">
            <w:r>
              <w:t>8.</w:t>
            </w:r>
          </w:p>
        </w:tc>
        <w:tc>
          <w:tcPr>
            <w:tcW w:w="1852" w:type="pct"/>
            <w:vAlign w:val="center"/>
          </w:tcPr>
          <w:p w14:paraId="53113DC8" w14:textId="77777777" w:rsidR="00AF6B6A" w:rsidRDefault="00000000">
            <w:r>
              <w:t>IV. Osnovna škola Varaždin</w:t>
            </w:r>
          </w:p>
        </w:tc>
        <w:tc>
          <w:tcPr>
            <w:tcW w:w="1307" w:type="pct"/>
            <w:vAlign w:val="center"/>
          </w:tcPr>
          <w:p w14:paraId="577C029D" w14:textId="77777777" w:rsidR="00AF6B6A" w:rsidRDefault="00000000">
            <w:r>
              <w:t>   379.845,03</w:t>
            </w:r>
          </w:p>
        </w:tc>
        <w:tc>
          <w:tcPr>
            <w:tcW w:w="1169" w:type="pct"/>
            <w:vAlign w:val="center"/>
          </w:tcPr>
          <w:p w14:paraId="4B7D1C86" w14:textId="77777777" w:rsidR="00AF6B6A" w:rsidRDefault="00000000">
            <w:r>
              <w:t>132.990,09</w:t>
            </w:r>
          </w:p>
        </w:tc>
      </w:tr>
      <w:tr w:rsidR="00AF6B6A" w14:paraId="3B0C0B77" w14:textId="77777777">
        <w:trPr>
          <w:trHeight w:val="542"/>
        </w:trPr>
        <w:tc>
          <w:tcPr>
            <w:tcW w:w="669" w:type="pct"/>
            <w:vAlign w:val="center"/>
          </w:tcPr>
          <w:p w14:paraId="5F132058" w14:textId="77777777" w:rsidR="00AF6B6A" w:rsidRDefault="00000000">
            <w:r>
              <w:t>9.</w:t>
            </w:r>
          </w:p>
        </w:tc>
        <w:tc>
          <w:tcPr>
            <w:tcW w:w="1852" w:type="pct"/>
            <w:vAlign w:val="center"/>
          </w:tcPr>
          <w:p w14:paraId="7BCCA66F" w14:textId="77777777" w:rsidR="00AF6B6A" w:rsidRDefault="00000000">
            <w:r>
              <w:t>V. Osnovna škola Varaždin</w:t>
            </w:r>
          </w:p>
        </w:tc>
        <w:tc>
          <w:tcPr>
            <w:tcW w:w="1307" w:type="pct"/>
            <w:vAlign w:val="center"/>
          </w:tcPr>
          <w:p w14:paraId="7519E1B0" w14:textId="77777777" w:rsidR="00AF6B6A" w:rsidRDefault="00000000">
            <w:r>
              <w:t>   282.570,69</w:t>
            </w:r>
          </w:p>
        </w:tc>
        <w:tc>
          <w:tcPr>
            <w:tcW w:w="1169" w:type="pct"/>
            <w:vAlign w:val="center"/>
          </w:tcPr>
          <w:p w14:paraId="7CF41665" w14:textId="77777777" w:rsidR="00AF6B6A" w:rsidRDefault="00000000">
            <w:r>
              <w:t>  31.818,92</w:t>
            </w:r>
          </w:p>
        </w:tc>
      </w:tr>
      <w:tr w:rsidR="00AF6B6A" w14:paraId="14C98D02" w14:textId="77777777">
        <w:trPr>
          <w:trHeight w:val="542"/>
        </w:trPr>
        <w:tc>
          <w:tcPr>
            <w:tcW w:w="669" w:type="pct"/>
            <w:vAlign w:val="center"/>
          </w:tcPr>
          <w:p w14:paraId="5820A7ED" w14:textId="77777777" w:rsidR="00AF6B6A" w:rsidRDefault="00000000">
            <w:r>
              <w:t>10.</w:t>
            </w:r>
          </w:p>
        </w:tc>
        <w:tc>
          <w:tcPr>
            <w:tcW w:w="1852" w:type="pct"/>
            <w:vAlign w:val="center"/>
          </w:tcPr>
          <w:p w14:paraId="77D704D0" w14:textId="77777777" w:rsidR="00AF6B6A" w:rsidRDefault="00000000">
            <w:r>
              <w:t>VI. Osnovna škola Varaždin</w:t>
            </w:r>
          </w:p>
        </w:tc>
        <w:tc>
          <w:tcPr>
            <w:tcW w:w="1307" w:type="pct"/>
            <w:vAlign w:val="center"/>
          </w:tcPr>
          <w:p w14:paraId="0EE097FA" w14:textId="77777777" w:rsidR="00AF6B6A" w:rsidRDefault="00000000">
            <w:r>
              <w:t>   729.221,88</w:t>
            </w:r>
          </w:p>
        </w:tc>
        <w:tc>
          <w:tcPr>
            <w:tcW w:w="1169" w:type="pct"/>
            <w:vAlign w:val="center"/>
          </w:tcPr>
          <w:p w14:paraId="59330166" w14:textId="77777777" w:rsidR="00AF6B6A" w:rsidRDefault="00000000">
            <w:r>
              <w:t>  75.566,41</w:t>
            </w:r>
          </w:p>
        </w:tc>
      </w:tr>
      <w:tr w:rsidR="00AF6B6A" w14:paraId="266144A3" w14:textId="77777777">
        <w:trPr>
          <w:trHeight w:val="542"/>
        </w:trPr>
        <w:tc>
          <w:tcPr>
            <w:tcW w:w="669" w:type="pct"/>
            <w:vAlign w:val="center"/>
          </w:tcPr>
          <w:p w14:paraId="13334F3C" w14:textId="77777777" w:rsidR="00AF6B6A" w:rsidRDefault="00000000">
            <w:r>
              <w:t>11.</w:t>
            </w:r>
          </w:p>
        </w:tc>
        <w:tc>
          <w:tcPr>
            <w:tcW w:w="1852" w:type="pct"/>
            <w:vAlign w:val="center"/>
          </w:tcPr>
          <w:p w14:paraId="32736B8B" w14:textId="77777777" w:rsidR="00AF6B6A" w:rsidRDefault="00000000">
            <w:r>
              <w:t>VII. Osnovna škola Varaždin</w:t>
            </w:r>
          </w:p>
        </w:tc>
        <w:tc>
          <w:tcPr>
            <w:tcW w:w="1307" w:type="pct"/>
            <w:vAlign w:val="center"/>
          </w:tcPr>
          <w:p w14:paraId="10F1768F" w14:textId="77777777" w:rsidR="00AF6B6A" w:rsidRDefault="00000000">
            <w:r>
              <w:t>   231.728,68</w:t>
            </w:r>
          </w:p>
        </w:tc>
        <w:tc>
          <w:tcPr>
            <w:tcW w:w="1169" w:type="pct"/>
            <w:vAlign w:val="center"/>
          </w:tcPr>
          <w:p w14:paraId="1A5E153B" w14:textId="77777777" w:rsidR="00AF6B6A" w:rsidRDefault="00000000">
            <w:r>
              <w:t>  37.305,85</w:t>
            </w:r>
          </w:p>
        </w:tc>
      </w:tr>
      <w:tr w:rsidR="00AF6B6A" w14:paraId="050760BB" w14:textId="77777777">
        <w:trPr>
          <w:trHeight w:val="542"/>
        </w:trPr>
        <w:tc>
          <w:tcPr>
            <w:tcW w:w="669" w:type="pct"/>
            <w:vAlign w:val="center"/>
          </w:tcPr>
          <w:p w14:paraId="7C92F0A3" w14:textId="77777777" w:rsidR="00AF6B6A" w:rsidRDefault="00000000">
            <w:r>
              <w:t>12.</w:t>
            </w:r>
          </w:p>
        </w:tc>
        <w:tc>
          <w:tcPr>
            <w:tcW w:w="1852" w:type="pct"/>
            <w:vAlign w:val="center"/>
          </w:tcPr>
          <w:p w14:paraId="2C268BBC" w14:textId="77777777" w:rsidR="00AF6B6A" w:rsidRDefault="00000000">
            <w:r>
              <w:t>Centar Tomislav Špoljar</w:t>
            </w:r>
          </w:p>
        </w:tc>
        <w:tc>
          <w:tcPr>
            <w:tcW w:w="1307" w:type="pct"/>
            <w:vAlign w:val="center"/>
          </w:tcPr>
          <w:p w14:paraId="5DCB8223" w14:textId="77777777" w:rsidR="00AF6B6A" w:rsidRDefault="00000000">
            <w:r>
              <w:t>   165.344,66</w:t>
            </w:r>
          </w:p>
        </w:tc>
        <w:tc>
          <w:tcPr>
            <w:tcW w:w="1169" w:type="pct"/>
            <w:vAlign w:val="center"/>
          </w:tcPr>
          <w:p w14:paraId="634C668F" w14:textId="77777777" w:rsidR="00AF6B6A" w:rsidRDefault="00000000">
            <w:r>
              <w:t>  18.116,25</w:t>
            </w:r>
          </w:p>
        </w:tc>
      </w:tr>
      <w:tr w:rsidR="00AF6B6A" w14:paraId="4BC4E15A" w14:textId="77777777">
        <w:trPr>
          <w:trHeight w:val="542"/>
        </w:trPr>
        <w:tc>
          <w:tcPr>
            <w:tcW w:w="669" w:type="pct"/>
            <w:vAlign w:val="center"/>
          </w:tcPr>
          <w:p w14:paraId="0716A52D" w14:textId="77777777" w:rsidR="00AF6B6A" w:rsidRDefault="00000000">
            <w:r>
              <w:t>13.</w:t>
            </w:r>
          </w:p>
        </w:tc>
        <w:tc>
          <w:tcPr>
            <w:tcW w:w="1852" w:type="pct"/>
            <w:vAlign w:val="center"/>
          </w:tcPr>
          <w:p w14:paraId="0ACB6E84" w14:textId="77777777" w:rsidR="00AF6B6A" w:rsidRDefault="00000000">
            <w:r>
              <w:t>Javna vatrogasna postojba Varaždin</w:t>
            </w:r>
          </w:p>
        </w:tc>
        <w:tc>
          <w:tcPr>
            <w:tcW w:w="1307" w:type="pct"/>
            <w:vAlign w:val="center"/>
          </w:tcPr>
          <w:p w14:paraId="395B7626" w14:textId="77777777" w:rsidR="00AF6B6A" w:rsidRDefault="00000000">
            <w:r>
              <w:t>2.680.403,35</w:t>
            </w:r>
          </w:p>
        </w:tc>
        <w:tc>
          <w:tcPr>
            <w:tcW w:w="1169" w:type="pct"/>
            <w:vAlign w:val="center"/>
          </w:tcPr>
          <w:p w14:paraId="04D0727D" w14:textId="77777777" w:rsidR="00AF6B6A" w:rsidRDefault="00000000">
            <w:r>
              <w:t>783.028,05</w:t>
            </w:r>
          </w:p>
        </w:tc>
      </w:tr>
      <w:tr w:rsidR="00AF6B6A" w14:paraId="144CFB96" w14:textId="77777777">
        <w:trPr>
          <w:trHeight w:val="542"/>
        </w:trPr>
        <w:tc>
          <w:tcPr>
            <w:tcW w:w="669" w:type="pct"/>
            <w:vAlign w:val="center"/>
          </w:tcPr>
          <w:p w14:paraId="5B061F86" w14:textId="77777777" w:rsidR="00AF6B6A" w:rsidRDefault="00000000">
            <w:r>
              <w:t>14.</w:t>
            </w:r>
          </w:p>
        </w:tc>
        <w:tc>
          <w:tcPr>
            <w:tcW w:w="1852" w:type="pct"/>
            <w:vAlign w:val="center"/>
          </w:tcPr>
          <w:p w14:paraId="14F42BC1" w14:textId="77777777" w:rsidR="00AF6B6A" w:rsidRDefault="00000000">
            <w:r>
              <w:t>Javna ustanova Gradski bazeni</w:t>
            </w:r>
          </w:p>
        </w:tc>
        <w:tc>
          <w:tcPr>
            <w:tcW w:w="1307" w:type="pct"/>
            <w:vAlign w:val="center"/>
          </w:tcPr>
          <w:p w14:paraId="763F36F1" w14:textId="77777777" w:rsidR="00AF6B6A" w:rsidRDefault="00000000">
            <w:r>
              <w:t>1.644.817,41</w:t>
            </w:r>
          </w:p>
        </w:tc>
        <w:tc>
          <w:tcPr>
            <w:tcW w:w="1169" w:type="pct"/>
            <w:vAlign w:val="center"/>
          </w:tcPr>
          <w:p w14:paraId="722BC5B7" w14:textId="77777777" w:rsidR="00AF6B6A" w:rsidRDefault="00000000">
            <w:r>
              <w:t>  59.880,00</w:t>
            </w:r>
          </w:p>
        </w:tc>
      </w:tr>
      <w:tr w:rsidR="00AF6B6A" w14:paraId="2A52DA02" w14:textId="77777777">
        <w:trPr>
          <w:trHeight w:val="542"/>
        </w:trPr>
        <w:tc>
          <w:tcPr>
            <w:tcW w:w="669" w:type="pct"/>
            <w:vAlign w:val="center"/>
          </w:tcPr>
          <w:p w14:paraId="685C77F1" w14:textId="77777777" w:rsidR="00AF6B6A" w:rsidRDefault="00000000">
            <w:r>
              <w:t>15.</w:t>
            </w:r>
          </w:p>
        </w:tc>
        <w:tc>
          <w:tcPr>
            <w:tcW w:w="1852" w:type="pct"/>
            <w:vAlign w:val="center"/>
          </w:tcPr>
          <w:p w14:paraId="3E723935" w14:textId="77777777" w:rsidR="00AF6B6A" w:rsidRDefault="00000000">
            <w:r>
              <w:t>Javna ustanova Gradski stanovi</w:t>
            </w:r>
          </w:p>
        </w:tc>
        <w:tc>
          <w:tcPr>
            <w:tcW w:w="1307" w:type="pct"/>
            <w:vAlign w:val="center"/>
          </w:tcPr>
          <w:p w14:paraId="3F098C3B" w14:textId="77777777" w:rsidR="00AF6B6A" w:rsidRDefault="00000000">
            <w:r>
              <w:t>   527.603,27</w:t>
            </w:r>
          </w:p>
        </w:tc>
        <w:tc>
          <w:tcPr>
            <w:tcW w:w="1169" w:type="pct"/>
            <w:vAlign w:val="center"/>
          </w:tcPr>
          <w:p w14:paraId="6C559570" w14:textId="77777777" w:rsidR="00AF6B6A" w:rsidRDefault="00000000">
            <w:r>
              <w:t>141.798,19</w:t>
            </w:r>
          </w:p>
        </w:tc>
      </w:tr>
      <w:tr w:rsidR="00AF6B6A" w14:paraId="5ECB5C49" w14:textId="77777777">
        <w:trPr>
          <w:trHeight w:val="542"/>
        </w:trPr>
        <w:tc>
          <w:tcPr>
            <w:tcW w:w="669" w:type="pct"/>
            <w:vAlign w:val="center"/>
          </w:tcPr>
          <w:p w14:paraId="47823CFE" w14:textId="77777777" w:rsidR="00AF6B6A" w:rsidRDefault="00000000">
            <w:r>
              <w:t>16.</w:t>
            </w:r>
          </w:p>
        </w:tc>
        <w:tc>
          <w:tcPr>
            <w:tcW w:w="1852" w:type="pct"/>
            <w:vAlign w:val="center"/>
          </w:tcPr>
          <w:p w14:paraId="6A6AB3F0" w14:textId="77777777" w:rsidR="00AF6B6A" w:rsidRDefault="00000000">
            <w:r>
              <w:t>Koncertni ured Varaždin</w:t>
            </w:r>
          </w:p>
        </w:tc>
        <w:tc>
          <w:tcPr>
            <w:tcW w:w="1307" w:type="pct"/>
            <w:vAlign w:val="center"/>
          </w:tcPr>
          <w:p w14:paraId="1A85EBF6" w14:textId="77777777" w:rsidR="00AF6B6A" w:rsidRDefault="00000000">
            <w:r>
              <w:t>   860.607,37</w:t>
            </w:r>
          </w:p>
        </w:tc>
        <w:tc>
          <w:tcPr>
            <w:tcW w:w="1169" w:type="pct"/>
            <w:vAlign w:val="center"/>
          </w:tcPr>
          <w:p w14:paraId="1EB9F3D1" w14:textId="77777777" w:rsidR="00AF6B6A" w:rsidRDefault="00000000">
            <w:r>
              <w:t>0,00</w:t>
            </w:r>
          </w:p>
        </w:tc>
      </w:tr>
      <w:tr w:rsidR="00AF6B6A" w14:paraId="755EBC86" w14:textId="77777777">
        <w:trPr>
          <w:trHeight w:val="878"/>
        </w:trPr>
        <w:tc>
          <w:tcPr>
            <w:tcW w:w="669" w:type="pct"/>
            <w:vAlign w:val="center"/>
          </w:tcPr>
          <w:p w14:paraId="3AA041AC" w14:textId="77777777" w:rsidR="00AF6B6A" w:rsidRDefault="00000000">
            <w:r>
              <w:t>17.</w:t>
            </w:r>
          </w:p>
        </w:tc>
        <w:tc>
          <w:tcPr>
            <w:tcW w:w="1852" w:type="pct"/>
            <w:vAlign w:val="center"/>
          </w:tcPr>
          <w:p w14:paraId="31044591" w14:textId="77777777" w:rsidR="00AF6B6A" w:rsidRDefault="00000000">
            <w:r>
              <w:t>Dom za žrtve obiteljskog nasilja "Utočište Sveti Nikola"</w:t>
            </w:r>
          </w:p>
        </w:tc>
        <w:tc>
          <w:tcPr>
            <w:tcW w:w="1307" w:type="pct"/>
            <w:vAlign w:val="center"/>
          </w:tcPr>
          <w:p w14:paraId="0BED9C9A" w14:textId="77777777" w:rsidR="00AF6B6A" w:rsidRDefault="00000000">
            <w:r>
              <w:t>    13.463,00</w:t>
            </w:r>
          </w:p>
        </w:tc>
        <w:tc>
          <w:tcPr>
            <w:tcW w:w="1169" w:type="pct"/>
            <w:vAlign w:val="center"/>
          </w:tcPr>
          <w:p w14:paraId="359D7A04" w14:textId="77777777" w:rsidR="00AF6B6A" w:rsidRDefault="00000000">
            <w:r>
              <w:t>0,00</w:t>
            </w:r>
          </w:p>
        </w:tc>
      </w:tr>
      <w:tr w:rsidR="00AF6B6A" w14:paraId="2F856B97" w14:textId="77777777">
        <w:trPr>
          <w:trHeight w:val="542"/>
        </w:trPr>
        <w:tc>
          <w:tcPr>
            <w:tcW w:w="669" w:type="pct"/>
            <w:vAlign w:val="center"/>
          </w:tcPr>
          <w:p w14:paraId="4E734F0C" w14:textId="77777777" w:rsidR="00AF6B6A" w:rsidRDefault="00000000">
            <w:r>
              <w:t>18.</w:t>
            </w:r>
          </w:p>
        </w:tc>
        <w:tc>
          <w:tcPr>
            <w:tcW w:w="1852" w:type="pct"/>
            <w:vAlign w:val="center"/>
          </w:tcPr>
          <w:p w14:paraId="38AC6EA1" w14:textId="77777777" w:rsidR="00AF6B6A" w:rsidRDefault="00000000">
            <w:r>
              <w:t>Centar za pružanje usluga u zajednici</w:t>
            </w:r>
          </w:p>
        </w:tc>
        <w:tc>
          <w:tcPr>
            <w:tcW w:w="1307" w:type="pct"/>
            <w:vAlign w:val="center"/>
          </w:tcPr>
          <w:p w14:paraId="4A1CE636" w14:textId="77777777" w:rsidR="00AF6B6A" w:rsidRDefault="00000000">
            <w:r>
              <w:t>  146.747,51</w:t>
            </w:r>
          </w:p>
        </w:tc>
        <w:tc>
          <w:tcPr>
            <w:tcW w:w="1169" w:type="pct"/>
            <w:vAlign w:val="center"/>
          </w:tcPr>
          <w:p w14:paraId="51B889A5" w14:textId="77777777" w:rsidR="00AF6B6A" w:rsidRDefault="00000000">
            <w:r>
              <w:t>0,00</w:t>
            </w:r>
          </w:p>
        </w:tc>
      </w:tr>
      <w:tr w:rsidR="00AF6B6A" w14:paraId="65359FAD" w14:textId="77777777">
        <w:trPr>
          <w:trHeight w:val="542"/>
        </w:trPr>
        <w:tc>
          <w:tcPr>
            <w:tcW w:w="669" w:type="pct"/>
            <w:vAlign w:val="center"/>
          </w:tcPr>
          <w:p w14:paraId="2C7D41DE" w14:textId="77777777" w:rsidR="00AF6B6A" w:rsidRDefault="00000000">
            <w:r>
              <w:t>19.</w:t>
            </w:r>
          </w:p>
        </w:tc>
        <w:tc>
          <w:tcPr>
            <w:tcW w:w="1852" w:type="pct"/>
            <w:vAlign w:val="center"/>
          </w:tcPr>
          <w:p w14:paraId="5C54BC76" w14:textId="77777777" w:rsidR="00AF6B6A" w:rsidRDefault="00000000">
            <w:r>
              <w:t>Pučko otvoreno učilište Varaždin</w:t>
            </w:r>
          </w:p>
        </w:tc>
        <w:tc>
          <w:tcPr>
            <w:tcW w:w="1307" w:type="pct"/>
            <w:vAlign w:val="center"/>
          </w:tcPr>
          <w:p w14:paraId="39CEDA67" w14:textId="77777777" w:rsidR="00AF6B6A" w:rsidRDefault="00000000">
            <w:r>
              <w:t>  275.380,95</w:t>
            </w:r>
          </w:p>
        </w:tc>
        <w:tc>
          <w:tcPr>
            <w:tcW w:w="1169" w:type="pct"/>
            <w:vAlign w:val="center"/>
          </w:tcPr>
          <w:p w14:paraId="4F9D6B99" w14:textId="77777777" w:rsidR="00AF6B6A" w:rsidRDefault="00000000">
            <w:r>
              <w:t>  59.163,20</w:t>
            </w:r>
          </w:p>
        </w:tc>
      </w:tr>
      <w:tr w:rsidR="00AF6B6A" w14:paraId="0BB2D16A" w14:textId="77777777">
        <w:trPr>
          <w:trHeight w:val="542"/>
        </w:trPr>
        <w:tc>
          <w:tcPr>
            <w:tcW w:w="669" w:type="pct"/>
            <w:vAlign w:val="center"/>
          </w:tcPr>
          <w:p w14:paraId="553B9A8B" w14:textId="77777777" w:rsidR="00AF6B6A" w:rsidRDefault="00000000">
            <w:r>
              <w:t>UKUPNO</w:t>
            </w:r>
          </w:p>
        </w:tc>
        <w:tc>
          <w:tcPr>
            <w:tcW w:w="1852" w:type="pct"/>
            <w:vAlign w:val="center"/>
          </w:tcPr>
          <w:p w14:paraId="6AA4B982" w14:textId="77777777" w:rsidR="00AF6B6A" w:rsidRDefault="00000000">
            <w:r>
              <w:t> </w:t>
            </w:r>
          </w:p>
        </w:tc>
        <w:tc>
          <w:tcPr>
            <w:tcW w:w="1307" w:type="pct"/>
            <w:vAlign w:val="center"/>
          </w:tcPr>
          <w:p w14:paraId="4C6DA976" w14:textId="77777777" w:rsidR="00AF6B6A" w:rsidRDefault="00000000">
            <w:r>
              <w:t>18.924.577,48</w:t>
            </w:r>
          </w:p>
        </w:tc>
        <w:tc>
          <w:tcPr>
            <w:tcW w:w="1169" w:type="pct"/>
            <w:vAlign w:val="center"/>
          </w:tcPr>
          <w:p w14:paraId="260AE9A9" w14:textId="77777777" w:rsidR="00AF6B6A" w:rsidRDefault="00000000">
            <w:r>
              <w:t>2.185.467,78</w:t>
            </w:r>
          </w:p>
        </w:tc>
      </w:tr>
    </w:tbl>
    <w:p w14:paraId="66187AE4" w14:textId="77777777" w:rsidR="00AF6B6A" w:rsidRDefault="00000000">
      <w:r>
        <w:t> </w:t>
      </w:r>
    </w:p>
    <w:p w14:paraId="542F5D2F" w14:textId="77777777" w:rsidR="00AF6B6A" w:rsidRDefault="00AF6B6A"/>
    <w:p w14:paraId="3816C48B" w14:textId="77777777" w:rsidR="00AF6B6A" w:rsidRDefault="00000000">
      <w:pPr>
        <w:keepNext/>
        <w:spacing w:line="240" w:lineRule="auto"/>
        <w:jc w:val="center"/>
      </w:pPr>
      <w:r>
        <w:rPr>
          <w:sz w:val="28"/>
        </w:rPr>
        <w:lastRenderedPageBreak/>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6EF5A6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7ED49F"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AFC696"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620E68"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CF822C"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C1BC61"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64D2BF" w14:textId="77777777" w:rsidR="00AF6B6A" w:rsidRDefault="00000000">
            <w:pPr>
              <w:keepNext/>
              <w:keepLines/>
              <w:spacing w:after="0" w:line="240" w:lineRule="auto"/>
              <w:jc w:val="center"/>
            </w:pPr>
            <w:r>
              <w:rPr>
                <w:b/>
                <w:sz w:val="18"/>
              </w:rPr>
              <w:t>Indeks (%)</w:t>
            </w:r>
          </w:p>
        </w:tc>
      </w:tr>
      <w:tr w:rsidR="00AF6B6A" w14:paraId="2BA13A95" w14:textId="77777777">
        <w:tblPrEx>
          <w:tblCellMar>
            <w:top w:w="0" w:type="dxa"/>
            <w:bottom w:w="0" w:type="dxa"/>
          </w:tblCellMar>
        </w:tblPrEx>
        <w:trPr>
          <w:cantSplit/>
          <w:trHeight w:val="560"/>
        </w:trPr>
        <w:tc>
          <w:tcPr>
            <w:tcW w:w="700" w:type="dxa"/>
            <w:tcMar>
              <w:top w:w="0" w:type="dxa"/>
              <w:bottom w:w="0" w:type="dxa"/>
            </w:tcMar>
            <w:vAlign w:val="center"/>
          </w:tcPr>
          <w:p w14:paraId="60FF8B67" w14:textId="77777777" w:rsidR="00AF6B6A" w:rsidRDefault="00000000">
            <w:pPr>
              <w:keepNext/>
              <w:keepLines/>
              <w:spacing w:after="0" w:line="240" w:lineRule="auto"/>
            </w:pPr>
            <w:r>
              <w:rPr>
                <w:sz w:val="18"/>
              </w:rPr>
              <w:t>3672</w:t>
            </w:r>
          </w:p>
        </w:tc>
        <w:tc>
          <w:tcPr>
            <w:tcW w:w="3180" w:type="dxa"/>
            <w:tcMar>
              <w:top w:w="0" w:type="dxa"/>
              <w:bottom w:w="0" w:type="dxa"/>
            </w:tcMar>
            <w:vAlign w:val="center"/>
          </w:tcPr>
          <w:p w14:paraId="4693D18C" w14:textId="77777777" w:rsidR="00AF6B6A" w:rsidRDefault="00000000">
            <w:pPr>
              <w:keepNext/>
              <w:keepLines/>
              <w:spacing w:after="0" w:line="240" w:lineRule="auto"/>
            </w:pPr>
            <w:r>
              <w:rPr>
                <w:sz w:val="18"/>
              </w:rPr>
              <w:t>Prijenosi proračunskim korisnicima iz nadležnog proračuna za financiranje rashoda poslovanja</w:t>
            </w:r>
          </w:p>
        </w:tc>
        <w:tc>
          <w:tcPr>
            <w:tcW w:w="700" w:type="dxa"/>
            <w:tcMar>
              <w:top w:w="0" w:type="dxa"/>
              <w:bottom w:w="0" w:type="dxa"/>
            </w:tcMar>
            <w:vAlign w:val="center"/>
          </w:tcPr>
          <w:p w14:paraId="2FDACD9D" w14:textId="77777777" w:rsidR="00AF6B6A" w:rsidRDefault="00000000">
            <w:pPr>
              <w:keepNext/>
              <w:keepLines/>
              <w:spacing w:after="0" w:line="240" w:lineRule="auto"/>
            </w:pPr>
            <w:r>
              <w:rPr>
                <w:sz w:val="18"/>
              </w:rPr>
              <w:t>3672</w:t>
            </w:r>
          </w:p>
        </w:tc>
        <w:tc>
          <w:tcPr>
            <w:tcW w:w="1860" w:type="dxa"/>
            <w:tcMar>
              <w:top w:w="0" w:type="dxa"/>
              <w:bottom w:w="0" w:type="dxa"/>
            </w:tcMar>
            <w:vAlign w:val="center"/>
          </w:tcPr>
          <w:p w14:paraId="780ECD22" w14:textId="77777777" w:rsidR="00AF6B6A" w:rsidRDefault="00000000">
            <w:pPr>
              <w:keepNext/>
              <w:keepLines/>
              <w:spacing w:after="0" w:line="240" w:lineRule="auto"/>
              <w:jc w:val="right"/>
            </w:pPr>
            <w:r>
              <w:rPr>
                <w:sz w:val="18"/>
              </w:rPr>
              <w:t>15.132.877,71</w:t>
            </w:r>
          </w:p>
        </w:tc>
        <w:tc>
          <w:tcPr>
            <w:tcW w:w="1860" w:type="dxa"/>
            <w:tcMar>
              <w:top w:w="0" w:type="dxa"/>
              <w:bottom w:w="0" w:type="dxa"/>
            </w:tcMar>
            <w:vAlign w:val="center"/>
          </w:tcPr>
          <w:p w14:paraId="6AE08E08" w14:textId="77777777" w:rsidR="00AF6B6A" w:rsidRDefault="00000000">
            <w:pPr>
              <w:keepNext/>
              <w:keepLines/>
              <w:spacing w:after="0" w:line="240" w:lineRule="auto"/>
              <w:jc w:val="right"/>
            </w:pPr>
            <w:r>
              <w:rPr>
                <w:sz w:val="18"/>
              </w:rPr>
              <w:t>18.924.577,48</w:t>
            </w:r>
          </w:p>
        </w:tc>
        <w:tc>
          <w:tcPr>
            <w:tcW w:w="700" w:type="dxa"/>
            <w:tcMar>
              <w:top w:w="0" w:type="dxa"/>
              <w:bottom w:w="0" w:type="dxa"/>
            </w:tcMar>
            <w:vAlign w:val="center"/>
          </w:tcPr>
          <w:p w14:paraId="43B5AC56" w14:textId="77777777" w:rsidR="00AF6B6A" w:rsidRDefault="00000000">
            <w:pPr>
              <w:keepNext/>
              <w:keepLines/>
              <w:spacing w:after="0" w:line="240" w:lineRule="auto"/>
              <w:jc w:val="right"/>
            </w:pPr>
            <w:r>
              <w:rPr>
                <w:sz w:val="18"/>
              </w:rPr>
              <w:t>125,1</w:t>
            </w:r>
          </w:p>
        </w:tc>
      </w:tr>
    </w:tbl>
    <w:p w14:paraId="635129B6" w14:textId="77777777" w:rsidR="00AF6B6A" w:rsidRDefault="00AF6B6A">
      <w:pPr>
        <w:spacing w:after="0"/>
      </w:pPr>
    </w:p>
    <w:p w14:paraId="3BBA252D" w14:textId="77777777" w:rsidR="00AF6B6A" w:rsidRDefault="00000000">
      <w:pPr>
        <w:jc w:val="both"/>
      </w:pPr>
      <w:r>
        <w:t>Prijenosi proračunskim korisnicima iz nadležnog proračuna za financiranje rashoda poslovanja (3672) jednim dijelom su povećani zbog činjenice da od 01.01.2025. godine Pučko otvoreno učilište postaje proračunski korisnik Grada Varaždina, pa se samim time i povećava iznos prijenosa proračunskim korisnicima. </w:t>
      </w:r>
    </w:p>
    <w:p w14:paraId="6F310510" w14:textId="77777777" w:rsidR="00AF6B6A" w:rsidRDefault="00AF6B6A"/>
    <w:p w14:paraId="469C2F39" w14:textId="77777777" w:rsidR="00AF6B6A"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CFF6B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CC73A6"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7D8E41"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C743A1"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7A669C"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BF3075"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B2E4C6" w14:textId="77777777" w:rsidR="00AF6B6A" w:rsidRDefault="00000000">
            <w:pPr>
              <w:keepNext/>
              <w:keepLines/>
              <w:spacing w:after="0" w:line="240" w:lineRule="auto"/>
              <w:jc w:val="center"/>
            </w:pPr>
            <w:r>
              <w:rPr>
                <w:b/>
                <w:sz w:val="18"/>
              </w:rPr>
              <w:t>Indeks (%)</w:t>
            </w:r>
          </w:p>
        </w:tc>
      </w:tr>
      <w:tr w:rsidR="00AF6B6A" w14:paraId="50D82008" w14:textId="77777777">
        <w:tblPrEx>
          <w:tblCellMar>
            <w:top w:w="0" w:type="dxa"/>
            <w:bottom w:w="0" w:type="dxa"/>
          </w:tblCellMar>
        </w:tblPrEx>
        <w:trPr>
          <w:cantSplit/>
          <w:trHeight w:val="560"/>
        </w:trPr>
        <w:tc>
          <w:tcPr>
            <w:tcW w:w="700" w:type="dxa"/>
            <w:tcMar>
              <w:top w:w="0" w:type="dxa"/>
              <w:bottom w:w="0" w:type="dxa"/>
            </w:tcMar>
            <w:vAlign w:val="center"/>
          </w:tcPr>
          <w:p w14:paraId="3DD86D12" w14:textId="77777777" w:rsidR="00AF6B6A" w:rsidRDefault="00000000">
            <w:pPr>
              <w:keepNext/>
              <w:keepLines/>
              <w:spacing w:after="0" w:line="240" w:lineRule="auto"/>
            </w:pPr>
            <w:r>
              <w:rPr>
                <w:sz w:val="18"/>
              </w:rPr>
              <w:t>3673</w:t>
            </w:r>
          </w:p>
        </w:tc>
        <w:tc>
          <w:tcPr>
            <w:tcW w:w="3180" w:type="dxa"/>
            <w:tcMar>
              <w:top w:w="0" w:type="dxa"/>
              <w:bottom w:w="0" w:type="dxa"/>
            </w:tcMar>
            <w:vAlign w:val="center"/>
          </w:tcPr>
          <w:p w14:paraId="32DD2933" w14:textId="77777777" w:rsidR="00AF6B6A" w:rsidRDefault="00000000">
            <w:pPr>
              <w:keepNext/>
              <w:keepLines/>
              <w:spacing w:after="0" w:line="240" w:lineRule="auto"/>
            </w:pPr>
            <w:r>
              <w:rPr>
                <w:sz w:val="18"/>
              </w:rPr>
              <w:t>Prijenosi proračunskim korisnicima iz nadležnog proračuna za nabavu nefinancijske imovine</w:t>
            </w:r>
          </w:p>
        </w:tc>
        <w:tc>
          <w:tcPr>
            <w:tcW w:w="700" w:type="dxa"/>
            <w:tcMar>
              <w:top w:w="0" w:type="dxa"/>
              <w:bottom w:w="0" w:type="dxa"/>
            </w:tcMar>
            <w:vAlign w:val="center"/>
          </w:tcPr>
          <w:p w14:paraId="69826550" w14:textId="77777777" w:rsidR="00AF6B6A" w:rsidRDefault="00000000">
            <w:pPr>
              <w:keepNext/>
              <w:keepLines/>
              <w:spacing w:after="0" w:line="240" w:lineRule="auto"/>
            </w:pPr>
            <w:r>
              <w:rPr>
                <w:sz w:val="18"/>
              </w:rPr>
              <w:t>3673</w:t>
            </w:r>
          </w:p>
        </w:tc>
        <w:tc>
          <w:tcPr>
            <w:tcW w:w="1860" w:type="dxa"/>
            <w:tcMar>
              <w:top w:w="0" w:type="dxa"/>
              <w:bottom w:w="0" w:type="dxa"/>
            </w:tcMar>
            <w:vAlign w:val="center"/>
          </w:tcPr>
          <w:p w14:paraId="4A759B75" w14:textId="77777777" w:rsidR="00AF6B6A" w:rsidRDefault="00000000">
            <w:pPr>
              <w:keepNext/>
              <w:keepLines/>
              <w:spacing w:after="0" w:line="240" w:lineRule="auto"/>
              <w:jc w:val="right"/>
            </w:pPr>
            <w:r>
              <w:rPr>
                <w:sz w:val="18"/>
              </w:rPr>
              <w:t>1.179.263,88</w:t>
            </w:r>
          </w:p>
        </w:tc>
        <w:tc>
          <w:tcPr>
            <w:tcW w:w="1860" w:type="dxa"/>
            <w:tcMar>
              <w:top w:w="0" w:type="dxa"/>
              <w:bottom w:w="0" w:type="dxa"/>
            </w:tcMar>
            <w:vAlign w:val="center"/>
          </w:tcPr>
          <w:p w14:paraId="1CD9B8D7" w14:textId="77777777" w:rsidR="00AF6B6A" w:rsidRDefault="00000000">
            <w:pPr>
              <w:keepNext/>
              <w:keepLines/>
              <w:spacing w:after="0" w:line="240" w:lineRule="auto"/>
              <w:jc w:val="right"/>
            </w:pPr>
            <w:r>
              <w:rPr>
                <w:sz w:val="18"/>
              </w:rPr>
              <w:t>2.185.467,78</w:t>
            </w:r>
          </w:p>
        </w:tc>
        <w:tc>
          <w:tcPr>
            <w:tcW w:w="700" w:type="dxa"/>
            <w:tcMar>
              <w:top w:w="0" w:type="dxa"/>
              <w:bottom w:w="0" w:type="dxa"/>
            </w:tcMar>
            <w:vAlign w:val="center"/>
          </w:tcPr>
          <w:p w14:paraId="6794C1B5" w14:textId="77777777" w:rsidR="00AF6B6A" w:rsidRDefault="00000000">
            <w:pPr>
              <w:keepNext/>
              <w:keepLines/>
              <w:spacing w:after="0" w:line="240" w:lineRule="auto"/>
              <w:jc w:val="right"/>
            </w:pPr>
            <w:r>
              <w:rPr>
                <w:sz w:val="18"/>
              </w:rPr>
              <w:t>185,3</w:t>
            </w:r>
          </w:p>
        </w:tc>
      </w:tr>
    </w:tbl>
    <w:p w14:paraId="0E51C699" w14:textId="77777777" w:rsidR="00AF6B6A" w:rsidRDefault="00AF6B6A">
      <w:pPr>
        <w:spacing w:after="0"/>
      </w:pPr>
    </w:p>
    <w:p w14:paraId="723CA070" w14:textId="77777777" w:rsidR="00AF6B6A" w:rsidRDefault="00000000">
      <w:pPr>
        <w:jc w:val="both"/>
      </w:pPr>
      <w:r>
        <w:t>Prijenosi proračunskim korisnicima iz nadležnog proračuna za nabavu nefinancijske imovine (3673) najvećim dijelom povećani su u odnosu na prošlu godinu budući da je u ovoj godini kupljeno vatrogasno vozila za Javnu vatrogasnu postrojbu grada Varaždina u iznosu od 650.000,00 EUR, kao i zbog činjenice da Grad Varaždin sudjeluje u energetskoj obnovi Starog grada, a za čiju obnovu je zadužen Gradski muzej Varaždin. Također, od većih rashoda, tu je i sanacija krovišta IV. OŠ, kao i rekonstrukcija sanitarnog čvora II. OŠ.</w:t>
      </w:r>
    </w:p>
    <w:p w14:paraId="1AE3E61F" w14:textId="77777777" w:rsidR="00AF6B6A" w:rsidRDefault="00AF6B6A"/>
    <w:p w14:paraId="33FFE970" w14:textId="77777777" w:rsidR="00AF6B6A"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1C3E6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AB2DAC"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042454"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F2ACAA"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D6E33A"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D8105E"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F8E05B" w14:textId="77777777" w:rsidR="00AF6B6A" w:rsidRDefault="00000000">
            <w:pPr>
              <w:keepNext/>
              <w:keepLines/>
              <w:spacing w:after="0" w:line="240" w:lineRule="auto"/>
              <w:jc w:val="center"/>
            </w:pPr>
            <w:r>
              <w:rPr>
                <w:b/>
                <w:sz w:val="18"/>
              </w:rPr>
              <w:t>Indeks (%)</w:t>
            </w:r>
          </w:p>
        </w:tc>
      </w:tr>
      <w:tr w:rsidR="00AF6B6A" w14:paraId="0EBE9722" w14:textId="77777777">
        <w:tblPrEx>
          <w:tblCellMar>
            <w:top w:w="0" w:type="dxa"/>
            <w:bottom w:w="0" w:type="dxa"/>
          </w:tblCellMar>
        </w:tblPrEx>
        <w:trPr>
          <w:cantSplit/>
          <w:trHeight w:val="560"/>
        </w:trPr>
        <w:tc>
          <w:tcPr>
            <w:tcW w:w="700" w:type="dxa"/>
            <w:tcMar>
              <w:top w:w="0" w:type="dxa"/>
              <w:bottom w:w="0" w:type="dxa"/>
            </w:tcMar>
            <w:vAlign w:val="center"/>
          </w:tcPr>
          <w:p w14:paraId="6376C448" w14:textId="77777777" w:rsidR="00AF6B6A" w:rsidRDefault="00000000">
            <w:pPr>
              <w:keepNext/>
              <w:keepLines/>
              <w:spacing w:after="0" w:line="240" w:lineRule="auto"/>
            </w:pPr>
            <w:r>
              <w:rPr>
                <w:sz w:val="18"/>
              </w:rPr>
              <w:t>3681</w:t>
            </w:r>
          </w:p>
        </w:tc>
        <w:tc>
          <w:tcPr>
            <w:tcW w:w="3180" w:type="dxa"/>
            <w:tcMar>
              <w:top w:w="0" w:type="dxa"/>
              <w:bottom w:w="0" w:type="dxa"/>
            </w:tcMar>
            <w:vAlign w:val="center"/>
          </w:tcPr>
          <w:p w14:paraId="5E54FB23" w14:textId="77777777" w:rsidR="00AF6B6A"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7D3346A7" w14:textId="77777777" w:rsidR="00AF6B6A" w:rsidRDefault="00000000">
            <w:pPr>
              <w:keepNext/>
              <w:keepLines/>
              <w:spacing w:after="0" w:line="240" w:lineRule="auto"/>
            </w:pPr>
            <w:r>
              <w:rPr>
                <w:sz w:val="18"/>
              </w:rPr>
              <w:t>3681</w:t>
            </w:r>
          </w:p>
        </w:tc>
        <w:tc>
          <w:tcPr>
            <w:tcW w:w="1860" w:type="dxa"/>
            <w:tcMar>
              <w:top w:w="0" w:type="dxa"/>
              <w:bottom w:w="0" w:type="dxa"/>
            </w:tcMar>
            <w:vAlign w:val="center"/>
          </w:tcPr>
          <w:p w14:paraId="332A65D0" w14:textId="77777777" w:rsidR="00AF6B6A" w:rsidRDefault="00000000">
            <w:pPr>
              <w:keepNext/>
              <w:keepLines/>
              <w:spacing w:after="0" w:line="240" w:lineRule="auto"/>
              <w:jc w:val="right"/>
            </w:pPr>
            <w:r>
              <w:rPr>
                <w:sz w:val="18"/>
              </w:rPr>
              <w:t>115.647,62</w:t>
            </w:r>
          </w:p>
        </w:tc>
        <w:tc>
          <w:tcPr>
            <w:tcW w:w="1860" w:type="dxa"/>
            <w:tcMar>
              <w:top w:w="0" w:type="dxa"/>
              <w:bottom w:w="0" w:type="dxa"/>
            </w:tcMar>
            <w:vAlign w:val="center"/>
          </w:tcPr>
          <w:p w14:paraId="7C909AD3" w14:textId="77777777" w:rsidR="00AF6B6A" w:rsidRDefault="00000000">
            <w:pPr>
              <w:keepNext/>
              <w:keepLines/>
              <w:spacing w:after="0" w:line="240" w:lineRule="auto"/>
              <w:jc w:val="right"/>
            </w:pPr>
            <w:r>
              <w:rPr>
                <w:sz w:val="18"/>
              </w:rPr>
              <w:t>138.047,62</w:t>
            </w:r>
          </w:p>
        </w:tc>
        <w:tc>
          <w:tcPr>
            <w:tcW w:w="700" w:type="dxa"/>
            <w:tcMar>
              <w:top w:w="0" w:type="dxa"/>
              <w:bottom w:w="0" w:type="dxa"/>
            </w:tcMar>
            <w:vAlign w:val="center"/>
          </w:tcPr>
          <w:p w14:paraId="52908EAE" w14:textId="77777777" w:rsidR="00AF6B6A" w:rsidRDefault="00000000">
            <w:pPr>
              <w:keepNext/>
              <w:keepLines/>
              <w:spacing w:after="0" w:line="240" w:lineRule="auto"/>
              <w:jc w:val="right"/>
            </w:pPr>
            <w:r>
              <w:rPr>
                <w:sz w:val="18"/>
              </w:rPr>
              <w:t>119,4</w:t>
            </w:r>
          </w:p>
        </w:tc>
      </w:tr>
    </w:tbl>
    <w:p w14:paraId="40B8B8BC" w14:textId="77777777" w:rsidR="00AF6B6A" w:rsidRDefault="00AF6B6A">
      <w:pPr>
        <w:spacing w:after="0"/>
      </w:pPr>
    </w:p>
    <w:p w14:paraId="0993E5C8" w14:textId="77777777" w:rsidR="00AF6B6A" w:rsidRDefault="00000000">
      <w:pPr>
        <w:jc w:val="both"/>
      </w:pPr>
      <w:r>
        <w:t>Tekuće pomoći temeljem prijenosa EU sredstava (3681) iznose 138.047,62 EUR i odnose se na prijenos sredstava predujma za aktivnosti projekta EUI InterACT Green u 2025. godini partnerima unutar općeg proračuna. </w:t>
      </w:r>
    </w:p>
    <w:p w14:paraId="09E2E933" w14:textId="77777777" w:rsidR="00AF6B6A" w:rsidRDefault="00AF6B6A"/>
    <w:p w14:paraId="6118FE33" w14:textId="77777777" w:rsidR="00AF6B6A" w:rsidRDefault="00000000">
      <w:pPr>
        <w:keepNext/>
        <w:spacing w:line="240" w:lineRule="auto"/>
        <w:jc w:val="center"/>
      </w:pPr>
      <w:r>
        <w:rPr>
          <w:sz w:val="28"/>
        </w:rPr>
        <w:lastRenderedPageBreak/>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618B0C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DCDEF8"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628DE9"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EAF7DE"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33B96C"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5D196F"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A58FD0" w14:textId="77777777" w:rsidR="00AF6B6A" w:rsidRDefault="00000000">
            <w:pPr>
              <w:keepNext/>
              <w:keepLines/>
              <w:spacing w:after="0" w:line="240" w:lineRule="auto"/>
              <w:jc w:val="center"/>
            </w:pPr>
            <w:r>
              <w:rPr>
                <w:b/>
                <w:sz w:val="18"/>
              </w:rPr>
              <w:t>Indeks (%)</w:t>
            </w:r>
          </w:p>
        </w:tc>
      </w:tr>
      <w:tr w:rsidR="00AF6B6A" w14:paraId="22BB375A" w14:textId="77777777">
        <w:tblPrEx>
          <w:tblCellMar>
            <w:top w:w="0" w:type="dxa"/>
            <w:bottom w:w="0" w:type="dxa"/>
          </w:tblCellMar>
        </w:tblPrEx>
        <w:trPr>
          <w:cantSplit/>
          <w:trHeight w:val="560"/>
        </w:trPr>
        <w:tc>
          <w:tcPr>
            <w:tcW w:w="700" w:type="dxa"/>
            <w:tcMar>
              <w:top w:w="0" w:type="dxa"/>
              <w:bottom w:w="0" w:type="dxa"/>
            </w:tcMar>
            <w:vAlign w:val="center"/>
          </w:tcPr>
          <w:p w14:paraId="2E6216D2" w14:textId="77777777" w:rsidR="00AF6B6A" w:rsidRDefault="00000000">
            <w:pPr>
              <w:keepNext/>
              <w:keepLines/>
              <w:spacing w:after="0" w:line="240" w:lineRule="auto"/>
            </w:pPr>
            <w:r>
              <w:rPr>
                <w:sz w:val="18"/>
              </w:rPr>
              <w:t>3721</w:t>
            </w:r>
          </w:p>
        </w:tc>
        <w:tc>
          <w:tcPr>
            <w:tcW w:w="3180" w:type="dxa"/>
            <w:tcMar>
              <w:top w:w="0" w:type="dxa"/>
              <w:bottom w:w="0" w:type="dxa"/>
            </w:tcMar>
            <w:vAlign w:val="center"/>
          </w:tcPr>
          <w:p w14:paraId="04123DC6" w14:textId="77777777" w:rsidR="00AF6B6A"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4AD89358" w14:textId="77777777" w:rsidR="00AF6B6A" w:rsidRDefault="00000000">
            <w:pPr>
              <w:keepNext/>
              <w:keepLines/>
              <w:spacing w:after="0" w:line="240" w:lineRule="auto"/>
            </w:pPr>
            <w:r>
              <w:rPr>
                <w:sz w:val="18"/>
              </w:rPr>
              <w:t>3721</w:t>
            </w:r>
          </w:p>
        </w:tc>
        <w:tc>
          <w:tcPr>
            <w:tcW w:w="1860" w:type="dxa"/>
            <w:tcMar>
              <w:top w:w="0" w:type="dxa"/>
              <w:bottom w:w="0" w:type="dxa"/>
            </w:tcMar>
            <w:vAlign w:val="center"/>
          </w:tcPr>
          <w:p w14:paraId="71997C92" w14:textId="77777777" w:rsidR="00AF6B6A" w:rsidRDefault="00000000">
            <w:pPr>
              <w:keepNext/>
              <w:keepLines/>
              <w:spacing w:after="0" w:line="240" w:lineRule="auto"/>
              <w:jc w:val="right"/>
            </w:pPr>
            <w:r>
              <w:rPr>
                <w:sz w:val="18"/>
              </w:rPr>
              <w:t>1.983.409,04</w:t>
            </w:r>
          </w:p>
        </w:tc>
        <w:tc>
          <w:tcPr>
            <w:tcW w:w="1860" w:type="dxa"/>
            <w:tcMar>
              <w:top w:w="0" w:type="dxa"/>
              <w:bottom w:w="0" w:type="dxa"/>
            </w:tcMar>
            <w:vAlign w:val="center"/>
          </w:tcPr>
          <w:p w14:paraId="284CD292" w14:textId="77777777" w:rsidR="00AF6B6A" w:rsidRDefault="00000000">
            <w:pPr>
              <w:keepNext/>
              <w:keepLines/>
              <w:spacing w:after="0" w:line="240" w:lineRule="auto"/>
              <w:jc w:val="right"/>
            </w:pPr>
            <w:r>
              <w:rPr>
                <w:sz w:val="18"/>
              </w:rPr>
              <w:t>2.602.162,06</w:t>
            </w:r>
          </w:p>
        </w:tc>
        <w:tc>
          <w:tcPr>
            <w:tcW w:w="700" w:type="dxa"/>
            <w:tcMar>
              <w:top w:w="0" w:type="dxa"/>
              <w:bottom w:w="0" w:type="dxa"/>
            </w:tcMar>
            <w:vAlign w:val="center"/>
          </w:tcPr>
          <w:p w14:paraId="2636E350" w14:textId="77777777" w:rsidR="00AF6B6A" w:rsidRDefault="00000000">
            <w:pPr>
              <w:keepNext/>
              <w:keepLines/>
              <w:spacing w:after="0" w:line="240" w:lineRule="auto"/>
              <w:jc w:val="right"/>
            </w:pPr>
            <w:r>
              <w:rPr>
                <w:sz w:val="18"/>
              </w:rPr>
              <w:t>131,2</w:t>
            </w:r>
          </w:p>
        </w:tc>
      </w:tr>
    </w:tbl>
    <w:p w14:paraId="03472F85" w14:textId="77777777" w:rsidR="00AF6B6A" w:rsidRDefault="00AF6B6A">
      <w:pPr>
        <w:spacing w:after="0"/>
      </w:pPr>
    </w:p>
    <w:p w14:paraId="5CF6C127" w14:textId="77777777" w:rsidR="00AF6B6A" w:rsidRDefault="00000000">
      <w:pPr>
        <w:jc w:val="both"/>
      </w:pPr>
      <w:r>
        <w:t>Naknade građanima i kućanstvima u novcu (3721) veće su u odnosu na prošlu godinu za 31,2%, a povećanje naknada odnosi se na programe socijalne skrbi, predškolskog odgoja i obrazovanja i to za veći djece smješteno kod obrta za obavljanje djelatnosti dadilje, za financiranje stipendija i potpora za obrazovanje učenika i studenata, za pomoći umirovljenicima za Uskrs i Božić i jednokratne pomoći socijalno ugroženim građanima.</w:t>
      </w:r>
    </w:p>
    <w:p w14:paraId="015CEC16" w14:textId="77777777" w:rsidR="00AF6B6A" w:rsidRDefault="00AF6B6A"/>
    <w:p w14:paraId="64D9B639" w14:textId="77777777" w:rsidR="00AF6B6A"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37B4A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308553"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776D36"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A582F7"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9E091D"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D046AC"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34039C" w14:textId="77777777" w:rsidR="00AF6B6A" w:rsidRDefault="00000000">
            <w:pPr>
              <w:keepNext/>
              <w:keepLines/>
              <w:spacing w:after="0" w:line="240" w:lineRule="auto"/>
              <w:jc w:val="center"/>
            </w:pPr>
            <w:r>
              <w:rPr>
                <w:b/>
                <w:sz w:val="18"/>
              </w:rPr>
              <w:t>Indeks (%)</w:t>
            </w:r>
          </w:p>
        </w:tc>
      </w:tr>
      <w:tr w:rsidR="00AF6B6A" w14:paraId="47D47189" w14:textId="77777777">
        <w:tblPrEx>
          <w:tblCellMar>
            <w:top w:w="0" w:type="dxa"/>
            <w:bottom w:w="0" w:type="dxa"/>
          </w:tblCellMar>
        </w:tblPrEx>
        <w:trPr>
          <w:cantSplit/>
          <w:trHeight w:val="560"/>
        </w:trPr>
        <w:tc>
          <w:tcPr>
            <w:tcW w:w="700" w:type="dxa"/>
            <w:tcMar>
              <w:top w:w="0" w:type="dxa"/>
              <w:bottom w:w="0" w:type="dxa"/>
            </w:tcMar>
            <w:vAlign w:val="center"/>
          </w:tcPr>
          <w:p w14:paraId="2BDEECAE" w14:textId="77777777" w:rsidR="00AF6B6A" w:rsidRDefault="00000000">
            <w:pPr>
              <w:keepNext/>
              <w:keepLines/>
              <w:spacing w:after="0" w:line="240" w:lineRule="auto"/>
            </w:pPr>
            <w:r>
              <w:rPr>
                <w:sz w:val="18"/>
              </w:rPr>
              <w:t>3722</w:t>
            </w:r>
          </w:p>
        </w:tc>
        <w:tc>
          <w:tcPr>
            <w:tcW w:w="3180" w:type="dxa"/>
            <w:tcMar>
              <w:top w:w="0" w:type="dxa"/>
              <w:bottom w:w="0" w:type="dxa"/>
            </w:tcMar>
            <w:vAlign w:val="center"/>
          </w:tcPr>
          <w:p w14:paraId="222A8E3A" w14:textId="77777777" w:rsidR="00AF6B6A" w:rsidRDefault="00000000">
            <w:pPr>
              <w:keepNext/>
              <w:keepLines/>
              <w:spacing w:after="0" w:line="240" w:lineRule="auto"/>
            </w:pPr>
            <w:r>
              <w:rPr>
                <w:sz w:val="18"/>
              </w:rPr>
              <w:t>Naknade građanima i kućanstvima u naravi</w:t>
            </w:r>
          </w:p>
        </w:tc>
        <w:tc>
          <w:tcPr>
            <w:tcW w:w="700" w:type="dxa"/>
            <w:tcMar>
              <w:top w:w="0" w:type="dxa"/>
              <w:bottom w:w="0" w:type="dxa"/>
            </w:tcMar>
            <w:vAlign w:val="center"/>
          </w:tcPr>
          <w:p w14:paraId="559F17B1" w14:textId="77777777" w:rsidR="00AF6B6A" w:rsidRDefault="00000000">
            <w:pPr>
              <w:keepNext/>
              <w:keepLines/>
              <w:spacing w:after="0" w:line="240" w:lineRule="auto"/>
            </w:pPr>
            <w:r>
              <w:rPr>
                <w:sz w:val="18"/>
              </w:rPr>
              <w:t>3722</w:t>
            </w:r>
          </w:p>
        </w:tc>
        <w:tc>
          <w:tcPr>
            <w:tcW w:w="1860" w:type="dxa"/>
            <w:tcMar>
              <w:top w:w="0" w:type="dxa"/>
              <w:bottom w:w="0" w:type="dxa"/>
            </w:tcMar>
            <w:vAlign w:val="center"/>
          </w:tcPr>
          <w:p w14:paraId="535CCC39" w14:textId="77777777" w:rsidR="00AF6B6A" w:rsidRDefault="00000000">
            <w:pPr>
              <w:keepNext/>
              <w:keepLines/>
              <w:spacing w:after="0" w:line="240" w:lineRule="auto"/>
              <w:jc w:val="right"/>
            </w:pPr>
            <w:r>
              <w:rPr>
                <w:sz w:val="18"/>
              </w:rPr>
              <w:t>195.051,36</w:t>
            </w:r>
          </w:p>
        </w:tc>
        <w:tc>
          <w:tcPr>
            <w:tcW w:w="1860" w:type="dxa"/>
            <w:tcMar>
              <w:top w:w="0" w:type="dxa"/>
              <w:bottom w:w="0" w:type="dxa"/>
            </w:tcMar>
            <w:vAlign w:val="center"/>
          </w:tcPr>
          <w:p w14:paraId="2A138844" w14:textId="77777777" w:rsidR="00AF6B6A" w:rsidRDefault="00000000">
            <w:pPr>
              <w:keepNext/>
              <w:keepLines/>
              <w:spacing w:after="0" w:line="240" w:lineRule="auto"/>
              <w:jc w:val="right"/>
            </w:pPr>
            <w:r>
              <w:rPr>
                <w:sz w:val="18"/>
              </w:rPr>
              <w:t>238.524,83</w:t>
            </w:r>
          </w:p>
        </w:tc>
        <w:tc>
          <w:tcPr>
            <w:tcW w:w="700" w:type="dxa"/>
            <w:tcMar>
              <w:top w:w="0" w:type="dxa"/>
              <w:bottom w:w="0" w:type="dxa"/>
            </w:tcMar>
            <w:vAlign w:val="center"/>
          </w:tcPr>
          <w:p w14:paraId="4A5F5F36" w14:textId="77777777" w:rsidR="00AF6B6A" w:rsidRDefault="00000000">
            <w:pPr>
              <w:keepNext/>
              <w:keepLines/>
              <w:spacing w:after="0" w:line="240" w:lineRule="auto"/>
              <w:jc w:val="right"/>
            </w:pPr>
            <w:r>
              <w:rPr>
                <w:sz w:val="18"/>
              </w:rPr>
              <w:t>122,3</w:t>
            </w:r>
          </w:p>
        </w:tc>
      </w:tr>
    </w:tbl>
    <w:p w14:paraId="3C146338" w14:textId="77777777" w:rsidR="00AF6B6A" w:rsidRDefault="00AF6B6A">
      <w:pPr>
        <w:spacing w:after="0"/>
      </w:pPr>
    </w:p>
    <w:p w14:paraId="752F3C00" w14:textId="77777777" w:rsidR="00AF6B6A" w:rsidRDefault="00000000">
      <w:pPr>
        <w:jc w:val="both"/>
      </w:pPr>
      <w:r>
        <w:t>Naknade građanima i kućanstvima u naravi (3722) veće su za 22,3%, a  povećanje naknada odnosi se na programe socijalne skrbi, predškolskog odgoja i obrazovanja i to za drugi obrazovni materijal učenika OŠ, za aktivnosti pomoći socijalno ugroženoj djeci za ljetovanje u odmaralištu na Rabu i Školu u prirodi i program rane intervencije te sufinanciranje troškova komunalnih usluga (ljubičaste kante, toplinska energija i otpad).</w:t>
      </w:r>
    </w:p>
    <w:p w14:paraId="301DB1FB" w14:textId="77777777" w:rsidR="00AF6B6A" w:rsidRDefault="00AF6B6A"/>
    <w:p w14:paraId="7E41A5E6" w14:textId="77777777" w:rsidR="00AF6B6A"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1B3590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865FD7"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179B8A"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B6CE34"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118F42"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B1C62C"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0C4EBD" w14:textId="77777777" w:rsidR="00AF6B6A" w:rsidRDefault="00000000">
            <w:pPr>
              <w:keepNext/>
              <w:keepLines/>
              <w:spacing w:after="0" w:line="240" w:lineRule="auto"/>
              <w:jc w:val="center"/>
            </w:pPr>
            <w:r>
              <w:rPr>
                <w:b/>
                <w:sz w:val="18"/>
              </w:rPr>
              <w:t>Indeks (%)</w:t>
            </w:r>
          </w:p>
        </w:tc>
      </w:tr>
      <w:tr w:rsidR="00AF6B6A" w14:paraId="594B6638" w14:textId="77777777">
        <w:tblPrEx>
          <w:tblCellMar>
            <w:top w:w="0" w:type="dxa"/>
            <w:bottom w:w="0" w:type="dxa"/>
          </w:tblCellMar>
        </w:tblPrEx>
        <w:trPr>
          <w:cantSplit/>
          <w:trHeight w:val="560"/>
        </w:trPr>
        <w:tc>
          <w:tcPr>
            <w:tcW w:w="700" w:type="dxa"/>
            <w:tcMar>
              <w:top w:w="0" w:type="dxa"/>
              <w:bottom w:w="0" w:type="dxa"/>
            </w:tcMar>
            <w:vAlign w:val="center"/>
          </w:tcPr>
          <w:p w14:paraId="71014178" w14:textId="77777777" w:rsidR="00AF6B6A" w:rsidRDefault="00000000">
            <w:pPr>
              <w:keepNext/>
              <w:keepLines/>
              <w:spacing w:after="0" w:line="240" w:lineRule="auto"/>
            </w:pPr>
            <w:r>
              <w:rPr>
                <w:sz w:val="18"/>
              </w:rPr>
              <w:t>3811</w:t>
            </w:r>
          </w:p>
        </w:tc>
        <w:tc>
          <w:tcPr>
            <w:tcW w:w="3180" w:type="dxa"/>
            <w:tcMar>
              <w:top w:w="0" w:type="dxa"/>
              <w:bottom w:w="0" w:type="dxa"/>
            </w:tcMar>
            <w:vAlign w:val="center"/>
          </w:tcPr>
          <w:p w14:paraId="5839847D" w14:textId="77777777" w:rsidR="00AF6B6A" w:rsidRDefault="00000000">
            <w:pPr>
              <w:keepNext/>
              <w:keepLines/>
              <w:spacing w:after="0" w:line="240" w:lineRule="auto"/>
            </w:pPr>
            <w:r>
              <w:rPr>
                <w:sz w:val="18"/>
              </w:rPr>
              <w:t>Tekuće donacije u novcu</w:t>
            </w:r>
          </w:p>
        </w:tc>
        <w:tc>
          <w:tcPr>
            <w:tcW w:w="700" w:type="dxa"/>
            <w:tcMar>
              <w:top w:w="0" w:type="dxa"/>
              <w:bottom w:w="0" w:type="dxa"/>
            </w:tcMar>
            <w:vAlign w:val="center"/>
          </w:tcPr>
          <w:p w14:paraId="319C9ED4" w14:textId="77777777" w:rsidR="00AF6B6A" w:rsidRDefault="00000000">
            <w:pPr>
              <w:keepNext/>
              <w:keepLines/>
              <w:spacing w:after="0" w:line="240" w:lineRule="auto"/>
            </w:pPr>
            <w:r>
              <w:rPr>
                <w:sz w:val="18"/>
              </w:rPr>
              <w:t>3811</w:t>
            </w:r>
          </w:p>
        </w:tc>
        <w:tc>
          <w:tcPr>
            <w:tcW w:w="1860" w:type="dxa"/>
            <w:tcMar>
              <w:top w:w="0" w:type="dxa"/>
              <w:bottom w:w="0" w:type="dxa"/>
            </w:tcMar>
            <w:vAlign w:val="center"/>
          </w:tcPr>
          <w:p w14:paraId="608608AD" w14:textId="77777777" w:rsidR="00AF6B6A" w:rsidRDefault="00000000">
            <w:pPr>
              <w:keepNext/>
              <w:keepLines/>
              <w:spacing w:after="0" w:line="240" w:lineRule="auto"/>
              <w:jc w:val="right"/>
            </w:pPr>
            <w:r>
              <w:rPr>
                <w:sz w:val="18"/>
              </w:rPr>
              <w:t>7.360.101,04</w:t>
            </w:r>
          </w:p>
        </w:tc>
        <w:tc>
          <w:tcPr>
            <w:tcW w:w="1860" w:type="dxa"/>
            <w:tcMar>
              <w:top w:w="0" w:type="dxa"/>
              <w:bottom w:w="0" w:type="dxa"/>
            </w:tcMar>
            <w:vAlign w:val="center"/>
          </w:tcPr>
          <w:p w14:paraId="1107B0A3" w14:textId="77777777" w:rsidR="00AF6B6A" w:rsidRDefault="00000000">
            <w:pPr>
              <w:keepNext/>
              <w:keepLines/>
              <w:spacing w:after="0" w:line="240" w:lineRule="auto"/>
              <w:jc w:val="right"/>
            </w:pPr>
            <w:r>
              <w:rPr>
                <w:sz w:val="18"/>
              </w:rPr>
              <w:t>9.124.512,17</w:t>
            </w:r>
          </w:p>
        </w:tc>
        <w:tc>
          <w:tcPr>
            <w:tcW w:w="700" w:type="dxa"/>
            <w:tcMar>
              <w:top w:w="0" w:type="dxa"/>
              <w:bottom w:w="0" w:type="dxa"/>
            </w:tcMar>
            <w:vAlign w:val="center"/>
          </w:tcPr>
          <w:p w14:paraId="6F10243F" w14:textId="77777777" w:rsidR="00AF6B6A" w:rsidRDefault="00000000">
            <w:pPr>
              <w:keepNext/>
              <w:keepLines/>
              <w:spacing w:after="0" w:line="240" w:lineRule="auto"/>
              <w:jc w:val="right"/>
            </w:pPr>
            <w:r>
              <w:rPr>
                <w:sz w:val="18"/>
              </w:rPr>
              <w:t>124,0</w:t>
            </w:r>
          </w:p>
        </w:tc>
      </w:tr>
    </w:tbl>
    <w:p w14:paraId="3C9D4A63" w14:textId="77777777" w:rsidR="00AF6B6A" w:rsidRDefault="00AF6B6A">
      <w:pPr>
        <w:spacing w:after="0"/>
      </w:pPr>
    </w:p>
    <w:p w14:paraId="793B7BD9" w14:textId="77777777" w:rsidR="00AF6B6A" w:rsidRDefault="00000000">
      <w:pPr>
        <w:jc w:val="both"/>
      </w:pPr>
      <w:r>
        <w:t>Tekuće donacije u novcu (3811) - povećanje tekućih donacija najznačajnije je u području predškolskog odgoja radi povećanja iznosa sufinanciranja smještaja djece u dječjim vrtićima privatnih osnivača i dječjim vrtićima drugih JLS, za financiranje pomoćnika u dječjim vrtićima i povećanje sufinanciranja Zajednice sportskih udruga za aktivnosti javnih potreba u sportu.</w:t>
      </w:r>
    </w:p>
    <w:p w14:paraId="7A0B2366" w14:textId="77777777" w:rsidR="00AF6B6A" w:rsidRDefault="00AF6B6A"/>
    <w:p w14:paraId="1859EBBB" w14:textId="77777777" w:rsidR="00AF6B6A" w:rsidRDefault="00000000">
      <w:pPr>
        <w:keepNext/>
        <w:spacing w:line="240" w:lineRule="auto"/>
        <w:jc w:val="center"/>
      </w:pPr>
      <w:r>
        <w:rPr>
          <w:sz w:val="28"/>
        </w:rPr>
        <w:lastRenderedPageBreak/>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76B71B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B51928"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930486"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215F39"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4EDFAD"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E7E51B"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4D4759" w14:textId="77777777" w:rsidR="00AF6B6A" w:rsidRDefault="00000000">
            <w:pPr>
              <w:keepNext/>
              <w:keepLines/>
              <w:spacing w:after="0" w:line="240" w:lineRule="auto"/>
              <w:jc w:val="center"/>
            </w:pPr>
            <w:r>
              <w:rPr>
                <w:b/>
                <w:sz w:val="18"/>
              </w:rPr>
              <w:t>Indeks (%)</w:t>
            </w:r>
          </w:p>
        </w:tc>
      </w:tr>
      <w:tr w:rsidR="00AF6B6A" w14:paraId="60C23B78" w14:textId="77777777">
        <w:tblPrEx>
          <w:tblCellMar>
            <w:top w:w="0" w:type="dxa"/>
            <w:bottom w:w="0" w:type="dxa"/>
          </w:tblCellMar>
        </w:tblPrEx>
        <w:trPr>
          <w:cantSplit/>
          <w:trHeight w:val="560"/>
        </w:trPr>
        <w:tc>
          <w:tcPr>
            <w:tcW w:w="700" w:type="dxa"/>
            <w:tcMar>
              <w:top w:w="0" w:type="dxa"/>
              <w:bottom w:w="0" w:type="dxa"/>
            </w:tcMar>
            <w:vAlign w:val="center"/>
          </w:tcPr>
          <w:p w14:paraId="69B9A016" w14:textId="77777777" w:rsidR="00AF6B6A" w:rsidRDefault="00000000">
            <w:pPr>
              <w:keepNext/>
              <w:keepLines/>
              <w:spacing w:after="0" w:line="240" w:lineRule="auto"/>
            </w:pPr>
            <w:r>
              <w:rPr>
                <w:sz w:val="18"/>
              </w:rPr>
              <w:t>3821</w:t>
            </w:r>
          </w:p>
        </w:tc>
        <w:tc>
          <w:tcPr>
            <w:tcW w:w="3180" w:type="dxa"/>
            <w:tcMar>
              <w:top w:w="0" w:type="dxa"/>
              <w:bottom w:w="0" w:type="dxa"/>
            </w:tcMar>
            <w:vAlign w:val="center"/>
          </w:tcPr>
          <w:p w14:paraId="113F4A7B" w14:textId="77777777" w:rsidR="00AF6B6A" w:rsidRDefault="00000000">
            <w:pPr>
              <w:keepNext/>
              <w:keepLines/>
              <w:spacing w:after="0" w:line="240" w:lineRule="auto"/>
            </w:pPr>
            <w:r>
              <w:rPr>
                <w:sz w:val="18"/>
              </w:rPr>
              <w:t>Kapitalne donacije neprofitnim organizacijama</w:t>
            </w:r>
          </w:p>
        </w:tc>
        <w:tc>
          <w:tcPr>
            <w:tcW w:w="700" w:type="dxa"/>
            <w:tcMar>
              <w:top w:w="0" w:type="dxa"/>
              <w:bottom w:w="0" w:type="dxa"/>
            </w:tcMar>
            <w:vAlign w:val="center"/>
          </w:tcPr>
          <w:p w14:paraId="44190608" w14:textId="77777777" w:rsidR="00AF6B6A" w:rsidRDefault="00000000">
            <w:pPr>
              <w:keepNext/>
              <w:keepLines/>
              <w:spacing w:after="0" w:line="240" w:lineRule="auto"/>
            </w:pPr>
            <w:r>
              <w:rPr>
                <w:sz w:val="18"/>
              </w:rPr>
              <w:t>3821</w:t>
            </w:r>
          </w:p>
        </w:tc>
        <w:tc>
          <w:tcPr>
            <w:tcW w:w="1860" w:type="dxa"/>
            <w:tcMar>
              <w:top w:w="0" w:type="dxa"/>
              <w:bottom w:w="0" w:type="dxa"/>
            </w:tcMar>
            <w:vAlign w:val="center"/>
          </w:tcPr>
          <w:p w14:paraId="0F094756" w14:textId="77777777" w:rsidR="00AF6B6A" w:rsidRDefault="00000000">
            <w:pPr>
              <w:keepNext/>
              <w:keepLines/>
              <w:spacing w:after="0" w:line="240" w:lineRule="auto"/>
              <w:jc w:val="right"/>
            </w:pPr>
            <w:r>
              <w:rPr>
                <w:sz w:val="18"/>
              </w:rPr>
              <w:t>335.760,82</w:t>
            </w:r>
          </w:p>
        </w:tc>
        <w:tc>
          <w:tcPr>
            <w:tcW w:w="1860" w:type="dxa"/>
            <w:tcMar>
              <w:top w:w="0" w:type="dxa"/>
              <w:bottom w:w="0" w:type="dxa"/>
            </w:tcMar>
            <w:vAlign w:val="center"/>
          </w:tcPr>
          <w:p w14:paraId="72026D54" w14:textId="77777777" w:rsidR="00AF6B6A" w:rsidRDefault="00000000">
            <w:pPr>
              <w:keepNext/>
              <w:keepLines/>
              <w:spacing w:after="0" w:line="240" w:lineRule="auto"/>
              <w:jc w:val="right"/>
            </w:pPr>
            <w:r>
              <w:rPr>
                <w:sz w:val="18"/>
              </w:rPr>
              <w:t>118.117,69</w:t>
            </w:r>
          </w:p>
        </w:tc>
        <w:tc>
          <w:tcPr>
            <w:tcW w:w="700" w:type="dxa"/>
            <w:tcMar>
              <w:top w:w="0" w:type="dxa"/>
              <w:bottom w:w="0" w:type="dxa"/>
            </w:tcMar>
            <w:vAlign w:val="center"/>
          </w:tcPr>
          <w:p w14:paraId="62292D78" w14:textId="77777777" w:rsidR="00AF6B6A" w:rsidRDefault="00000000">
            <w:pPr>
              <w:keepNext/>
              <w:keepLines/>
              <w:spacing w:after="0" w:line="240" w:lineRule="auto"/>
              <w:jc w:val="right"/>
            </w:pPr>
            <w:r>
              <w:rPr>
                <w:sz w:val="18"/>
              </w:rPr>
              <w:t>35,2</w:t>
            </w:r>
          </w:p>
        </w:tc>
      </w:tr>
    </w:tbl>
    <w:p w14:paraId="1670537F" w14:textId="77777777" w:rsidR="00AF6B6A" w:rsidRDefault="00AF6B6A">
      <w:pPr>
        <w:spacing w:after="0"/>
      </w:pPr>
    </w:p>
    <w:p w14:paraId="6E3FEE00" w14:textId="77777777" w:rsidR="00AF6B6A" w:rsidRDefault="00000000">
      <w:r>
        <w:t>Kapitalne donacije neprofitnim ogranizacijama (3821) manje su u odnosu na prošlu godinu po stavkama financiranja Pučkog otvorenog učilišta,  budući da je od 2025. godine proračunski korisnik.</w:t>
      </w:r>
    </w:p>
    <w:p w14:paraId="259A5F0D" w14:textId="77777777" w:rsidR="00AF6B6A" w:rsidRDefault="00AF6B6A"/>
    <w:p w14:paraId="2E3D42AD" w14:textId="77777777" w:rsidR="00AF6B6A"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3EA1D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33AF3A"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D62FBD"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F2669D"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575FBD"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00B32C"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E66CD5" w14:textId="77777777" w:rsidR="00AF6B6A" w:rsidRDefault="00000000">
            <w:pPr>
              <w:keepNext/>
              <w:keepLines/>
              <w:spacing w:after="0" w:line="240" w:lineRule="auto"/>
              <w:jc w:val="center"/>
            </w:pPr>
            <w:r>
              <w:rPr>
                <w:b/>
                <w:sz w:val="18"/>
              </w:rPr>
              <w:t>Indeks (%)</w:t>
            </w:r>
          </w:p>
        </w:tc>
      </w:tr>
      <w:tr w:rsidR="00AF6B6A" w14:paraId="418679AD" w14:textId="77777777">
        <w:tblPrEx>
          <w:tblCellMar>
            <w:top w:w="0" w:type="dxa"/>
            <w:bottom w:w="0" w:type="dxa"/>
          </w:tblCellMar>
        </w:tblPrEx>
        <w:trPr>
          <w:cantSplit/>
          <w:trHeight w:val="560"/>
        </w:trPr>
        <w:tc>
          <w:tcPr>
            <w:tcW w:w="700" w:type="dxa"/>
            <w:tcMar>
              <w:top w:w="0" w:type="dxa"/>
              <w:bottom w:w="0" w:type="dxa"/>
            </w:tcMar>
            <w:vAlign w:val="center"/>
          </w:tcPr>
          <w:p w14:paraId="47680309" w14:textId="77777777" w:rsidR="00AF6B6A" w:rsidRDefault="00000000">
            <w:pPr>
              <w:keepNext/>
              <w:keepLines/>
              <w:spacing w:after="0" w:line="240" w:lineRule="auto"/>
            </w:pPr>
            <w:r>
              <w:rPr>
                <w:sz w:val="18"/>
              </w:rPr>
              <w:t>3861</w:t>
            </w:r>
          </w:p>
        </w:tc>
        <w:tc>
          <w:tcPr>
            <w:tcW w:w="3180" w:type="dxa"/>
            <w:tcMar>
              <w:top w:w="0" w:type="dxa"/>
              <w:bottom w:w="0" w:type="dxa"/>
            </w:tcMar>
            <w:vAlign w:val="center"/>
          </w:tcPr>
          <w:p w14:paraId="7C494F46" w14:textId="77777777" w:rsidR="00AF6B6A" w:rsidRDefault="00000000">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23733CEC" w14:textId="77777777" w:rsidR="00AF6B6A" w:rsidRDefault="00000000">
            <w:pPr>
              <w:keepNext/>
              <w:keepLines/>
              <w:spacing w:after="0" w:line="240" w:lineRule="auto"/>
            </w:pPr>
            <w:r>
              <w:rPr>
                <w:sz w:val="18"/>
              </w:rPr>
              <w:t>3861</w:t>
            </w:r>
          </w:p>
        </w:tc>
        <w:tc>
          <w:tcPr>
            <w:tcW w:w="1860" w:type="dxa"/>
            <w:tcMar>
              <w:top w:w="0" w:type="dxa"/>
              <w:bottom w:w="0" w:type="dxa"/>
            </w:tcMar>
            <w:vAlign w:val="center"/>
          </w:tcPr>
          <w:p w14:paraId="16F4F364" w14:textId="77777777" w:rsidR="00AF6B6A" w:rsidRDefault="00000000">
            <w:pPr>
              <w:keepNext/>
              <w:keepLines/>
              <w:spacing w:after="0" w:line="240" w:lineRule="auto"/>
              <w:jc w:val="right"/>
            </w:pPr>
            <w:r>
              <w:rPr>
                <w:sz w:val="18"/>
              </w:rPr>
              <w:t>683.969,66</w:t>
            </w:r>
          </w:p>
        </w:tc>
        <w:tc>
          <w:tcPr>
            <w:tcW w:w="1860" w:type="dxa"/>
            <w:tcMar>
              <w:top w:w="0" w:type="dxa"/>
              <w:bottom w:w="0" w:type="dxa"/>
            </w:tcMar>
            <w:vAlign w:val="center"/>
          </w:tcPr>
          <w:p w14:paraId="4E2A0C02" w14:textId="77777777" w:rsidR="00AF6B6A" w:rsidRDefault="00000000">
            <w:pPr>
              <w:keepNext/>
              <w:keepLines/>
              <w:spacing w:after="0" w:line="240" w:lineRule="auto"/>
              <w:jc w:val="right"/>
            </w:pPr>
            <w:r>
              <w:rPr>
                <w:sz w:val="18"/>
              </w:rPr>
              <w:t>1.356.653,09</w:t>
            </w:r>
          </w:p>
        </w:tc>
        <w:tc>
          <w:tcPr>
            <w:tcW w:w="700" w:type="dxa"/>
            <w:tcMar>
              <w:top w:w="0" w:type="dxa"/>
              <w:bottom w:w="0" w:type="dxa"/>
            </w:tcMar>
            <w:vAlign w:val="center"/>
          </w:tcPr>
          <w:p w14:paraId="3E1B89E9" w14:textId="77777777" w:rsidR="00AF6B6A" w:rsidRDefault="00000000">
            <w:pPr>
              <w:keepNext/>
              <w:keepLines/>
              <w:spacing w:after="0" w:line="240" w:lineRule="auto"/>
              <w:jc w:val="right"/>
            </w:pPr>
            <w:r>
              <w:rPr>
                <w:sz w:val="18"/>
              </w:rPr>
              <w:t>198,3</w:t>
            </w:r>
          </w:p>
        </w:tc>
      </w:tr>
    </w:tbl>
    <w:p w14:paraId="5EF6A701" w14:textId="77777777" w:rsidR="00AF6B6A" w:rsidRDefault="00AF6B6A">
      <w:pPr>
        <w:spacing w:after="0"/>
      </w:pPr>
    </w:p>
    <w:p w14:paraId="3771C44E" w14:textId="77777777" w:rsidR="00AF6B6A" w:rsidRDefault="00000000">
      <w:pPr>
        <w:jc w:val="both"/>
      </w:pPr>
      <w:r>
        <w:t>Kapitalne pomoći kreditnim i ostalim financijskim institucijama te trgovačkim društvima u javnom sektoru (3861) veće su u odnosu na 2024. godinu za 98,3%. Kapitalne pomoći povećane u dijelu sufinanciranja građenja vodnih građevina na području aglomeracije TD Varkom d.d. te isplaćena kapitalna pomoć Tehnološkom parku za izgradnju inovacijskog centra (Innovation HUB) i Gradskoj tržnici za rekonstrukciju i sanaciju Dječjeg odmarališta na Rabu.  </w:t>
      </w:r>
    </w:p>
    <w:p w14:paraId="2284B03E" w14:textId="77777777" w:rsidR="00AF6B6A" w:rsidRDefault="00AF6B6A"/>
    <w:p w14:paraId="5769EE13" w14:textId="77777777" w:rsidR="00AF6B6A"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12260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DF278C"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FCD4C4"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7B31CD"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327411"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9B8DEA"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A00666" w14:textId="77777777" w:rsidR="00AF6B6A" w:rsidRDefault="00000000">
            <w:pPr>
              <w:keepNext/>
              <w:keepLines/>
              <w:spacing w:after="0" w:line="240" w:lineRule="auto"/>
              <w:jc w:val="center"/>
            </w:pPr>
            <w:r>
              <w:rPr>
                <w:b/>
                <w:sz w:val="18"/>
              </w:rPr>
              <w:t>Indeks (%)</w:t>
            </w:r>
          </w:p>
        </w:tc>
      </w:tr>
      <w:tr w:rsidR="00AF6B6A" w14:paraId="3F68F970" w14:textId="77777777">
        <w:tblPrEx>
          <w:tblCellMar>
            <w:top w:w="0" w:type="dxa"/>
            <w:bottom w:w="0" w:type="dxa"/>
          </w:tblCellMar>
        </w:tblPrEx>
        <w:trPr>
          <w:cantSplit/>
          <w:trHeight w:val="560"/>
        </w:trPr>
        <w:tc>
          <w:tcPr>
            <w:tcW w:w="700" w:type="dxa"/>
            <w:tcMar>
              <w:top w:w="0" w:type="dxa"/>
              <w:bottom w:w="0" w:type="dxa"/>
            </w:tcMar>
            <w:vAlign w:val="center"/>
          </w:tcPr>
          <w:p w14:paraId="1ED65839" w14:textId="77777777" w:rsidR="00AF6B6A" w:rsidRDefault="00000000">
            <w:pPr>
              <w:keepNext/>
              <w:keepLines/>
              <w:spacing w:after="0" w:line="240" w:lineRule="auto"/>
            </w:pPr>
            <w:r>
              <w:rPr>
                <w:sz w:val="18"/>
              </w:rPr>
              <w:t>7</w:t>
            </w:r>
          </w:p>
        </w:tc>
        <w:tc>
          <w:tcPr>
            <w:tcW w:w="3180" w:type="dxa"/>
            <w:tcMar>
              <w:top w:w="0" w:type="dxa"/>
              <w:bottom w:w="0" w:type="dxa"/>
            </w:tcMar>
            <w:vAlign w:val="center"/>
          </w:tcPr>
          <w:p w14:paraId="20035728" w14:textId="77777777" w:rsidR="00AF6B6A"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B334D58" w14:textId="77777777" w:rsidR="00AF6B6A" w:rsidRDefault="00000000">
            <w:pPr>
              <w:keepNext/>
              <w:keepLines/>
              <w:spacing w:after="0" w:line="240" w:lineRule="auto"/>
            </w:pPr>
            <w:r>
              <w:rPr>
                <w:sz w:val="18"/>
              </w:rPr>
              <w:t>7</w:t>
            </w:r>
          </w:p>
        </w:tc>
        <w:tc>
          <w:tcPr>
            <w:tcW w:w="1860" w:type="dxa"/>
            <w:tcMar>
              <w:top w:w="0" w:type="dxa"/>
              <w:bottom w:w="0" w:type="dxa"/>
            </w:tcMar>
            <w:vAlign w:val="center"/>
          </w:tcPr>
          <w:p w14:paraId="3A2B06D1" w14:textId="77777777" w:rsidR="00AF6B6A" w:rsidRDefault="00000000">
            <w:pPr>
              <w:keepNext/>
              <w:keepLines/>
              <w:spacing w:after="0" w:line="240" w:lineRule="auto"/>
              <w:jc w:val="right"/>
            </w:pPr>
            <w:r>
              <w:rPr>
                <w:sz w:val="18"/>
              </w:rPr>
              <w:t>626.279,30</w:t>
            </w:r>
          </w:p>
        </w:tc>
        <w:tc>
          <w:tcPr>
            <w:tcW w:w="1860" w:type="dxa"/>
            <w:tcMar>
              <w:top w:w="0" w:type="dxa"/>
              <w:bottom w:w="0" w:type="dxa"/>
            </w:tcMar>
            <w:vAlign w:val="center"/>
          </w:tcPr>
          <w:p w14:paraId="1FB159FE" w14:textId="77777777" w:rsidR="00AF6B6A" w:rsidRDefault="00000000">
            <w:pPr>
              <w:keepNext/>
              <w:keepLines/>
              <w:spacing w:after="0" w:line="240" w:lineRule="auto"/>
              <w:jc w:val="right"/>
            </w:pPr>
            <w:r>
              <w:rPr>
                <w:sz w:val="18"/>
              </w:rPr>
              <w:t>973.979,40</w:t>
            </w:r>
          </w:p>
        </w:tc>
        <w:tc>
          <w:tcPr>
            <w:tcW w:w="700" w:type="dxa"/>
            <w:tcMar>
              <w:top w:w="0" w:type="dxa"/>
              <w:bottom w:w="0" w:type="dxa"/>
            </w:tcMar>
            <w:vAlign w:val="center"/>
          </w:tcPr>
          <w:p w14:paraId="71D6257C" w14:textId="77777777" w:rsidR="00AF6B6A" w:rsidRDefault="00000000">
            <w:pPr>
              <w:keepNext/>
              <w:keepLines/>
              <w:spacing w:after="0" w:line="240" w:lineRule="auto"/>
              <w:jc w:val="right"/>
            </w:pPr>
            <w:r>
              <w:rPr>
                <w:sz w:val="18"/>
              </w:rPr>
              <w:t>155,5</w:t>
            </w:r>
          </w:p>
        </w:tc>
      </w:tr>
    </w:tbl>
    <w:p w14:paraId="39360D0A" w14:textId="77777777" w:rsidR="00AF6B6A" w:rsidRDefault="00AF6B6A">
      <w:pPr>
        <w:spacing w:after="0"/>
      </w:pPr>
    </w:p>
    <w:p w14:paraId="699EF9D1" w14:textId="77777777" w:rsidR="00AF6B6A" w:rsidRDefault="00000000">
      <w:pPr>
        <w:jc w:val="both"/>
      </w:pPr>
      <w:r>
        <w:t>Prihodi od prodaje nefinancijske imovine (7) iznose  973.979,40 EUR i veći su 55,5% u odnosu na prihode 2024.godine.</w:t>
      </w:r>
    </w:p>
    <w:p w14:paraId="12E2C82E" w14:textId="77777777" w:rsidR="00AF6B6A" w:rsidRDefault="00AF6B6A"/>
    <w:p w14:paraId="21264CDA" w14:textId="77777777" w:rsidR="00AF6B6A"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353B69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5F0D41"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8C4A16"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02EECE"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903340"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0ACCA2"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592709" w14:textId="77777777" w:rsidR="00AF6B6A" w:rsidRDefault="00000000">
            <w:pPr>
              <w:keepNext/>
              <w:keepLines/>
              <w:spacing w:after="0" w:line="240" w:lineRule="auto"/>
              <w:jc w:val="center"/>
            </w:pPr>
            <w:r>
              <w:rPr>
                <w:b/>
                <w:sz w:val="18"/>
              </w:rPr>
              <w:t>Indeks (%)</w:t>
            </w:r>
          </w:p>
        </w:tc>
      </w:tr>
      <w:tr w:rsidR="00AF6B6A" w14:paraId="0F08DC2C" w14:textId="77777777">
        <w:tblPrEx>
          <w:tblCellMar>
            <w:top w:w="0" w:type="dxa"/>
            <w:bottom w:w="0" w:type="dxa"/>
          </w:tblCellMar>
        </w:tblPrEx>
        <w:trPr>
          <w:cantSplit/>
          <w:trHeight w:val="560"/>
        </w:trPr>
        <w:tc>
          <w:tcPr>
            <w:tcW w:w="700" w:type="dxa"/>
            <w:tcMar>
              <w:top w:w="0" w:type="dxa"/>
              <w:bottom w:w="0" w:type="dxa"/>
            </w:tcMar>
            <w:vAlign w:val="center"/>
          </w:tcPr>
          <w:p w14:paraId="43455672" w14:textId="77777777" w:rsidR="00AF6B6A" w:rsidRDefault="00000000">
            <w:pPr>
              <w:keepNext/>
              <w:keepLines/>
              <w:spacing w:after="0" w:line="240" w:lineRule="auto"/>
            </w:pPr>
            <w:r>
              <w:rPr>
                <w:sz w:val="18"/>
              </w:rPr>
              <w:t>7111</w:t>
            </w:r>
          </w:p>
        </w:tc>
        <w:tc>
          <w:tcPr>
            <w:tcW w:w="3180" w:type="dxa"/>
            <w:tcMar>
              <w:top w:w="0" w:type="dxa"/>
              <w:bottom w:w="0" w:type="dxa"/>
            </w:tcMar>
            <w:vAlign w:val="center"/>
          </w:tcPr>
          <w:p w14:paraId="56122875" w14:textId="77777777" w:rsidR="00AF6B6A" w:rsidRDefault="00000000">
            <w:pPr>
              <w:keepNext/>
              <w:keepLines/>
              <w:spacing w:after="0" w:line="240" w:lineRule="auto"/>
            </w:pPr>
            <w:r>
              <w:rPr>
                <w:sz w:val="18"/>
              </w:rPr>
              <w:t>Zemljište</w:t>
            </w:r>
          </w:p>
        </w:tc>
        <w:tc>
          <w:tcPr>
            <w:tcW w:w="700" w:type="dxa"/>
            <w:tcMar>
              <w:top w:w="0" w:type="dxa"/>
              <w:bottom w:w="0" w:type="dxa"/>
            </w:tcMar>
            <w:vAlign w:val="center"/>
          </w:tcPr>
          <w:p w14:paraId="11A6F091" w14:textId="77777777" w:rsidR="00AF6B6A" w:rsidRDefault="00000000">
            <w:pPr>
              <w:keepNext/>
              <w:keepLines/>
              <w:spacing w:after="0" w:line="240" w:lineRule="auto"/>
            </w:pPr>
            <w:r>
              <w:rPr>
                <w:sz w:val="18"/>
              </w:rPr>
              <w:t>7111</w:t>
            </w:r>
          </w:p>
        </w:tc>
        <w:tc>
          <w:tcPr>
            <w:tcW w:w="1860" w:type="dxa"/>
            <w:tcMar>
              <w:top w:w="0" w:type="dxa"/>
              <w:bottom w:w="0" w:type="dxa"/>
            </w:tcMar>
            <w:vAlign w:val="center"/>
          </w:tcPr>
          <w:p w14:paraId="4C6798E8" w14:textId="77777777" w:rsidR="00AF6B6A" w:rsidRDefault="00000000">
            <w:pPr>
              <w:keepNext/>
              <w:keepLines/>
              <w:spacing w:after="0" w:line="240" w:lineRule="auto"/>
              <w:jc w:val="right"/>
            </w:pPr>
            <w:r>
              <w:rPr>
                <w:sz w:val="18"/>
              </w:rPr>
              <w:t>404.259,89</w:t>
            </w:r>
          </w:p>
        </w:tc>
        <w:tc>
          <w:tcPr>
            <w:tcW w:w="1860" w:type="dxa"/>
            <w:tcMar>
              <w:top w:w="0" w:type="dxa"/>
              <w:bottom w:w="0" w:type="dxa"/>
            </w:tcMar>
            <w:vAlign w:val="center"/>
          </w:tcPr>
          <w:p w14:paraId="3D61D8E5" w14:textId="77777777" w:rsidR="00AF6B6A" w:rsidRDefault="00000000">
            <w:pPr>
              <w:keepNext/>
              <w:keepLines/>
              <w:spacing w:after="0" w:line="240" w:lineRule="auto"/>
              <w:jc w:val="right"/>
            </w:pPr>
            <w:r>
              <w:rPr>
                <w:sz w:val="18"/>
              </w:rPr>
              <w:t>856.669,28</w:t>
            </w:r>
          </w:p>
        </w:tc>
        <w:tc>
          <w:tcPr>
            <w:tcW w:w="700" w:type="dxa"/>
            <w:tcMar>
              <w:top w:w="0" w:type="dxa"/>
              <w:bottom w:w="0" w:type="dxa"/>
            </w:tcMar>
            <w:vAlign w:val="center"/>
          </w:tcPr>
          <w:p w14:paraId="6DCA9025" w14:textId="77777777" w:rsidR="00AF6B6A" w:rsidRDefault="00000000">
            <w:pPr>
              <w:keepNext/>
              <w:keepLines/>
              <w:spacing w:after="0" w:line="240" w:lineRule="auto"/>
              <w:jc w:val="right"/>
            </w:pPr>
            <w:r>
              <w:rPr>
                <w:sz w:val="18"/>
              </w:rPr>
              <w:t>211,9</w:t>
            </w:r>
          </w:p>
        </w:tc>
      </w:tr>
    </w:tbl>
    <w:p w14:paraId="61F339DB" w14:textId="77777777" w:rsidR="00AF6B6A" w:rsidRDefault="00AF6B6A">
      <w:pPr>
        <w:spacing w:after="0"/>
      </w:pPr>
    </w:p>
    <w:p w14:paraId="4AFF7766" w14:textId="77777777" w:rsidR="00AF6B6A" w:rsidRDefault="00000000">
      <w:r>
        <w:lastRenderedPageBreak/>
        <w:t>Zemljište (7111) povećani su rashodi na ovom kontu zbog prodaje nekoliko većih zemljišta u ukupnom iznosu 856.669,28 EUR.</w:t>
      </w:r>
    </w:p>
    <w:p w14:paraId="45947306" w14:textId="77777777" w:rsidR="00AF6B6A" w:rsidRDefault="00AF6B6A"/>
    <w:p w14:paraId="6B0D8764" w14:textId="77777777" w:rsidR="00AF6B6A"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6875E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0FFBD9"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3D5254"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8C3796"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3D36FA"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730B94"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902926" w14:textId="77777777" w:rsidR="00AF6B6A" w:rsidRDefault="00000000">
            <w:pPr>
              <w:keepNext/>
              <w:keepLines/>
              <w:spacing w:after="0" w:line="240" w:lineRule="auto"/>
              <w:jc w:val="center"/>
            </w:pPr>
            <w:r>
              <w:rPr>
                <w:b/>
                <w:sz w:val="18"/>
              </w:rPr>
              <w:t>Indeks (%)</w:t>
            </w:r>
          </w:p>
        </w:tc>
      </w:tr>
      <w:tr w:rsidR="00AF6B6A" w14:paraId="735E84B3" w14:textId="77777777">
        <w:tblPrEx>
          <w:tblCellMar>
            <w:top w:w="0" w:type="dxa"/>
            <w:bottom w:w="0" w:type="dxa"/>
          </w:tblCellMar>
        </w:tblPrEx>
        <w:trPr>
          <w:cantSplit/>
          <w:trHeight w:val="560"/>
        </w:trPr>
        <w:tc>
          <w:tcPr>
            <w:tcW w:w="700" w:type="dxa"/>
            <w:tcMar>
              <w:top w:w="0" w:type="dxa"/>
              <w:bottom w:w="0" w:type="dxa"/>
            </w:tcMar>
            <w:vAlign w:val="center"/>
          </w:tcPr>
          <w:p w14:paraId="223BDB2C" w14:textId="77777777" w:rsidR="00AF6B6A" w:rsidRDefault="00000000">
            <w:pPr>
              <w:keepNext/>
              <w:keepLines/>
              <w:spacing w:after="0" w:line="240" w:lineRule="auto"/>
            </w:pPr>
            <w:r>
              <w:rPr>
                <w:sz w:val="18"/>
              </w:rPr>
              <w:t>72</w:t>
            </w:r>
          </w:p>
        </w:tc>
        <w:tc>
          <w:tcPr>
            <w:tcW w:w="3180" w:type="dxa"/>
            <w:tcMar>
              <w:top w:w="0" w:type="dxa"/>
              <w:bottom w:w="0" w:type="dxa"/>
            </w:tcMar>
            <w:vAlign w:val="center"/>
          </w:tcPr>
          <w:p w14:paraId="6D53E21A" w14:textId="77777777" w:rsidR="00AF6B6A" w:rsidRDefault="00000000">
            <w:pPr>
              <w:keepNext/>
              <w:keepLines/>
              <w:spacing w:after="0" w:line="240" w:lineRule="auto"/>
            </w:pPr>
            <w:r>
              <w:rPr>
                <w:sz w:val="18"/>
              </w:rPr>
              <w:t>Prihodi od prodaje proizvedene dugotrajne imovine (šifre 721+722+723+724+725+726)</w:t>
            </w:r>
          </w:p>
        </w:tc>
        <w:tc>
          <w:tcPr>
            <w:tcW w:w="700" w:type="dxa"/>
            <w:tcMar>
              <w:top w:w="0" w:type="dxa"/>
              <w:bottom w:w="0" w:type="dxa"/>
            </w:tcMar>
            <w:vAlign w:val="center"/>
          </w:tcPr>
          <w:p w14:paraId="4615E559" w14:textId="77777777" w:rsidR="00AF6B6A" w:rsidRDefault="00000000">
            <w:pPr>
              <w:keepNext/>
              <w:keepLines/>
              <w:spacing w:after="0" w:line="240" w:lineRule="auto"/>
            </w:pPr>
            <w:r>
              <w:rPr>
                <w:sz w:val="18"/>
              </w:rPr>
              <w:t>72</w:t>
            </w:r>
          </w:p>
        </w:tc>
        <w:tc>
          <w:tcPr>
            <w:tcW w:w="1860" w:type="dxa"/>
            <w:tcMar>
              <w:top w:w="0" w:type="dxa"/>
              <w:bottom w:w="0" w:type="dxa"/>
            </w:tcMar>
            <w:vAlign w:val="center"/>
          </w:tcPr>
          <w:p w14:paraId="510C625F" w14:textId="77777777" w:rsidR="00AF6B6A" w:rsidRDefault="00000000">
            <w:pPr>
              <w:keepNext/>
              <w:keepLines/>
              <w:spacing w:after="0" w:line="240" w:lineRule="auto"/>
              <w:jc w:val="right"/>
            </w:pPr>
            <w:r>
              <w:rPr>
                <w:sz w:val="18"/>
              </w:rPr>
              <w:t>222.019,41</w:t>
            </w:r>
          </w:p>
        </w:tc>
        <w:tc>
          <w:tcPr>
            <w:tcW w:w="1860" w:type="dxa"/>
            <w:tcMar>
              <w:top w:w="0" w:type="dxa"/>
              <w:bottom w:w="0" w:type="dxa"/>
            </w:tcMar>
            <w:vAlign w:val="center"/>
          </w:tcPr>
          <w:p w14:paraId="6326A496" w14:textId="77777777" w:rsidR="00AF6B6A" w:rsidRDefault="00000000">
            <w:pPr>
              <w:keepNext/>
              <w:keepLines/>
              <w:spacing w:after="0" w:line="240" w:lineRule="auto"/>
              <w:jc w:val="right"/>
            </w:pPr>
            <w:r>
              <w:rPr>
                <w:sz w:val="18"/>
              </w:rPr>
              <w:t>117.310,12</w:t>
            </w:r>
          </w:p>
        </w:tc>
        <w:tc>
          <w:tcPr>
            <w:tcW w:w="700" w:type="dxa"/>
            <w:tcMar>
              <w:top w:w="0" w:type="dxa"/>
              <w:bottom w:w="0" w:type="dxa"/>
            </w:tcMar>
            <w:vAlign w:val="center"/>
          </w:tcPr>
          <w:p w14:paraId="5C84F2AB" w14:textId="77777777" w:rsidR="00AF6B6A" w:rsidRDefault="00000000">
            <w:pPr>
              <w:keepNext/>
              <w:keepLines/>
              <w:spacing w:after="0" w:line="240" w:lineRule="auto"/>
              <w:jc w:val="right"/>
            </w:pPr>
            <w:r>
              <w:rPr>
                <w:sz w:val="18"/>
              </w:rPr>
              <w:t>52,8</w:t>
            </w:r>
          </w:p>
        </w:tc>
      </w:tr>
    </w:tbl>
    <w:p w14:paraId="0C15CD87" w14:textId="77777777" w:rsidR="00AF6B6A" w:rsidRDefault="00AF6B6A">
      <w:pPr>
        <w:spacing w:after="0"/>
      </w:pPr>
    </w:p>
    <w:p w14:paraId="3B7A6951" w14:textId="77777777" w:rsidR="00AF6B6A" w:rsidRDefault="00000000">
      <w:pPr>
        <w:jc w:val="both"/>
      </w:pPr>
      <w:r>
        <w:t>Prihodi od prodaje proizvedene dugotrajne imovine (72) ostvareni u iznosu od 117.310,12 EUR . </w:t>
      </w:r>
    </w:p>
    <w:p w14:paraId="622727E2" w14:textId="77777777" w:rsidR="00AF6B6A" w:rsidRDefault="00AF6B6A"/>
    <w:p w14:paraId="1331F2AE" w14:textId="77777777" w:rsidR="00AF6B6A" w:rsidRDefault="0000000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7D0CDB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37AE10"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1D8623"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AFBCF7"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F117D0"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2B565D"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9CF26C" w14:textId="77777777" w:rsidR="00AF6B6A" w:rsidRDefault="00000000">
            <w:pPr>
              <w:keepNext/>
              <w:keepLines/>
              <w:spacing w:after="0" w:line="240" w:lineRule="auto"/>
              <w:jc w:val="center"/>
            </w:pPr>
            <w:r>
              <w:rPr>
                <w:b/>
                <w:sz w:val="18"/>
              </w:rPr>
              <w:t>Indeks (%)</w:t>
            </w:r>
          </w:p>
        </w:tc>
      </w:tr>
      <w:tr w:rsidR="00AF6B6A" w14:paraId="1C4E9E3A" w14:textId="77777777">
        <w:tblPrEx>
          <w:tblCellMar>
            <w:top w:w="0" w:type="dxa"/>
            <w:bottom w:w="0" w:type="dxa"/>
          </w:tblCellMar>
        </w:tblPrEx>
        <w:trPr>
          <w:cantSplit/>
          <w:trHeight w:val="560"/>
        </w:trPr>
        <w:tc>
          <w:tcPr>
            <w:tcW w:w="700" w:type="dxa"/>
            <w:tcMar>
              <w:top w:w="0" w:type="dxa"/>
              <w:bottom w:w="0" w:type="dxa"/>
            </w:tcMar>
            <w:vAlign w:val="center"/>
          </w:tcPr>
          <w:p w14:paraId="71499A71" w14:textId="77777777" w:rsidR="00AF6B6A" w:rsidRDefault="00000000">
            <w:pPr>
              <w:keepNext/>
              <w:keepLines/>
              <w:spacing w:after="0" w:line="240" w:lineRule="auto"/>
            </w:pPr>
            <w:r>
              <w:rPr>
                <w:sz w:val="18"/>
              </w:rPr>
              <w:t>7211</w:t>
            </w:r>
          </w:p>
        </w:tc>
        <w:tc>
          <w:tcPr>
            <w:tcW w:w="3180" w:type="dxa"/>
            <w:tcMar>
              <w:top w:w="0" w:type="dxa"/>
              <w:bottom w:w="0" w:type="dxa"/>
            </w:tcMar>
            <w:vAlign w:val="center"/>
          </w:tcPr>
          <w:p w14:paraId="2FB6C3E2" w14:textId="77777777" w:rsidR="00AF6B6A" w:rsidRDefault="00000000">
            <w:pPr>
              <w:keepNext/>
              <w:keepLines/>
              <w:spacing w:after="0" w:line="240" w:lineRule="auto"/>
            </w:pPr>
            <w:r>
              <w:rPr>
                <w:sz w:val="18"/>
              </w:rPr>
              <w:t>Stambeni objekti</w:t>
            </w:r>
          </w:p>
        </w:tc>
        <w:tc>
          <w:tcPr>
            <w:tcW w:w="700" w:type="dxa"/>
            <w:tcMar>
              <w:top w:w="0" w:type="dxa"/>
              <w:bottom w:w="0" w:type="dxa"/>
            </w:tcMar>
            <w:vAlign w:val="center"/>
          </w:tcPr>
          <w:p w14:paraId="11857F0F" w14:textId="77777777" w:rsidR="00AF6B6A" w:rsidRDefault="00000000">
            <w:pPr>
              <w:keepNext/>
              <w:keepLines/>
              <w:spacing w:after="0" w:line="240" w:lineRule="auto"/>
            </w:pPr>
            <w:r>
              <w:rPr>
                <w:sz w:val="18"/>
              </w:rPr>
              <w:t>7211</w:t>
            </w:r>
          </w:p>
        </w:tc>
        <w:tc>
          <w:tcPr>
            <w:tcW w:w="1860" w:type="dxa"/>
            <w:tcMar>
              <w:top w:w="0" w:type="dxa"/>
              <w:bottom w:w="0" w:type="dxa"/>
            </w:tcMar>
            <w:vAlign w:val="center"/>
          </w:tcPr>
          <w:p w14:paraId="496820A4" w14:textId="77777777" w:rsidR="00AF6B6A" w:rsidRDefault="00000000">
            <w:pPr>
              <w:keepNext/>
              <w:keepLines/>
              <w:spacing w:after="0" w:line="240" w:lineRule="auto"/>
              <w:jc w:val="right"/>
            </w:pPr>
            <w:r>
              <w:rPr>
                <w:sz w:val="18"/>
              </w:rPr>
              <w:t>222.019,41</w:t>
            </w:r>
          </w:p>
        </w:tc>
        <w:tc>
          <w:tcPr>
            <w:tcW w:w="1860" w:type="dxa"/>
            <w:tcMar>
              <w:top w:w="0" w:type="dxa"/>
              <w:bottom w:w="0" w:type="dxa"/>
            </w:tcMar>
            <w:vAlign w:val="center"/>
          </w:tcPr>
          <w:p w14:paraId="3AB90447" w14:textId="77777777" w:rsidR="00AF6B6A" w:rsidRDefault="00000000">
            <w:pPr>
              <w:keepNext/>
              <w:keepLines/>
              <w:spacing w:after="0" w:line="240" w:lineRule="auto"/>
              <w:jc w:val="right"/>
            </w:pPr>
            <w:r>
              <w:rPr>
                <w:sz w:val="18"/>
              </w:rPr>
              <w:t>115.891,40</w:t>
            </w:r>
          </w:p>
        </w:tc>
        <w:tc>
          <w:tcPr>
            <w:tcW w:w="700" w:type="dxa"/>
            <w:tcMar>
              <w:top w:w="0" w:type="dxa"/>
              <w:bottom w:w="0" w:type="dxa"/>
            </w:tcMar>
            <w:vAlign w:val="center"/>
          </w:tcPr>
          <w:p w14:paraId="66E5E352" w14:textId="77777777" w:rsidR="00AF6B6A" w:rsidRDefault="00000000">
            <w:pPr>
              <w:keepNext/>
              <w:keepLines/>
              <w:spacing w:after="0" w:line="240" w:lineRule="auto"/>
              <w:jc w:val="right"/>
            </w:pPr>
            <w:r>
              <w:rPr>
                <w:sz w:val="18"/>
              </w:rPr>
              <w:t>52,2</w:t>
            </w:r>
          </w:p>
        </w:tc>
      </w:tr>
    </w:tbl>
    <w:p w14:paraId="0F18DDF5" w14:textId="77777777" w:rsidR="00AF6B6A" w:rsidRDefault="00AF6B6A">
      <w:pPr>
        <w:spacing w:after="0"/>
      </w:pPr>
    </w:p>
    <w:p w14:paraId="4807AD09" w14:textId="77777777" w:rsidR="00AF6B6A" w:rsidRDefault="00000000">
      <w:pPr>
        <w:jc w:val="both"/>
      </w:pPr>
      <w:r>
        <w:t>Prihode od prodaje stambenih objekata (7211) ostvareni su u iznosu od 115.891,40 EUR uplata APN-a  i otplate gradskih stanova te obročna otplata stanova i manji  su za 47,8% u odnosu na isto razdoblje prošle godine. Prihod je značajno manji u odnosu na prošlu godinu budući da je u prošloj godini evidentiran prihod po ugovoru o prodaji stana koji je u cijelosti plaćen prilikom kupnje.</w:t>
      </w:r>
    </w:p>
    <w:p w14:paraId="6986127A" w14:textId="77777777" w:rsidR="00AF6B6A" w:rsidRDefault="00AF6B6A"/>
    <w:p w14:paraId="577FB4DA" w14:textId="77777777" w:rsidR="00AF6B6A"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4954B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49E390"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ABF963"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8AF7ED"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55F1FA"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30DB1C"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52B276" w14:textId="77777777" w:rsidR="00AF6B6A" w:rsidRDefault="00000000">
            <w:pPr>
              <w:keepNext/>
              <w:keepLines/>
              <w:spacing w:after="0" w:line="240" w:lineRule="auto"/>
              <w:jc w:val="center"/>
            </w:pPr>
            <w:r>
              <w:rPr>
                <w:b/>
                <w:sz w:val="18"/>
              </w:rPr>
              <w:t>Indeks (%)</w:t>
            </w:r>
          </w:p>
        </w:tc>
      </w:tr>
      <w:tr w:rsidR="00AF6B6A" w14:paraId="5F099766" w14:textId="77777777">
        <w:tblPrEx>
          <w:tblCellMar>
            <w:top w:w="0" w:type="dxa"/>
            <w:bottom w:w="0" w:type="dxa"/>
          </w:tblCellMar>
        </w:tblPrEx>
        <w:trPr>
          <w:cantSplit/>
          <w:trHeight w:val="560"/>
        </w:trPr>
        <w:tc>
          <w:tcPr>
            <w:tcW w:w="700" w:type="dxa"/>
            <w:tcMar>
              <w:top w:w="0" w:type="dxa"/>
              <w:bottom w:w="0" w:type="dxa"/>
            </w:tcMar>
            <w:vAlign w:val="center"/>
          </w:tcPr>
          <w:p w14:paraId="7E75F101" w14:textId="77777777" w:rsidR="00AF6B6A" w:rsidRDefault="00000000">
            <w:pPr>
              <w:keepNext/>
              <w:keepLines/>
              <w:spacing w:after="0" w:line="240" w:lineRule="auto"/>
            </w:pPr>
            <w:r>
              <w:rPr>
                <w:sz w:val="18"/>
              </w:rPr>
              <w:t>4</w:t>
            </w:r>
          </w:p>
        </w:tc>
        <w:tc>
          <w:tcPr>
            <w:tcW w:w="3180" w:type="dxa"/>
            <w:tcMar>
              <w:top w:w="0" w:type="dxa"/>
              <w:bottom w:w="0" w:type="dxa"/>
            </w:tcMar>
            <w:vAlign w:val="center"/>
          </w:tcPr>
          <w:p w14:paraId="0DABAA21" w14:textId="77777777" w:rsidR="00AF6B6A"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DAA63B9" w14:textId="77777777" w:rsidR="00AF6B6A" w:rsidRDefault="00000000">
            <w:pPr>
              <w:keepNext/>
              <w:keepLines/>
              <w:spacing w:after="0" w:line="240" w:lineRule="auto"/>
            </w:pPr>
            <w:r>
              <w:rPr>
                <w:sz w:val="18"/>
              </w:rPr>
              <w:t>4</w:t>
            </w:r>
          </w:p>
        </w:tc>
        <w:tc>
          <w:tcPr>
            <w:tcW w:w="1860" w:type="dxa"/>
            <w:tcMar>
              <w:top w:w="0" w:type="dxa"/>
              <w:bottom w:w="0" w:type="dxa"/>
            </w:tcMar>
            <w:vAlign w:val="center"/>
          </w:tcPr>
          <w:p w14:paraId="5CC0585E" w14:textId="77777777" w:rsidR="00AF6B6A" w:rsidRDefault="00000000">
            <w:pPr>
              <w:keepNext/>
              <w:keepLines/>
              <w:spacing w:after="0" w:line="240" w:lineRule="auto"/>
              <w:jc w:val="right"/>
            </w:pPr>
            <w:r>
              <w:rPr>
                <w:sz w:val="18"/>
              </w:rPr>
              <w:t>17.522.955,04</w:t>
            </w:r>
          </w:p>
        </w:tc>
        <w:tc>
          <w:tcPr>
            <w:tcW w:w="1860" w:type="dxa"/>
            <w:tcMar>
              <w:top w:w="0" w:type="dxa"/>
              <w:bottom w:w="0" w:type="dxa"/>
            </w:tcMar>
            <w:vAlign w:val="center"/>
          </w:tcPr>
          <w:p w14:paraId="5A0AF5C6" w14:textId="77777777" w:rsidR="00AF6B6A" w:rsidRDefault="00000000">
            <w:pPr>
              <w:keepNext/>
              <w:keepLines/>
              <w:spacing w:after="0" w:line="240" w:lineRule="auto"/>
              <w:jc w:val="right"/>
            </w:pPr>
            <w:r>
              <w:rPr>
                <w:sz w:val="18"/>
              </w:rPr>
              <w:t>19.168.521,42</w:t>
            </w:r>
          </w:p>
        </w:tc>
        <w:tc>
          <w:tcPr>
            <w:tcW w:w="700" w:type="dxa"/>
            <w:tcMar>
              <w:top w:w="0" w:type="dxa"/>
              <w:bottom w:w="0" w:type="dxa"/>
            </w:tcMar>
            <w:vAlign w:val="center"/>
          </w:tcPr>
          <w:p w14:paraId="71838EC9" w14:textId="77777777" w:rsidR="00AF6B6A" w:rsidRDefault="00000000">
            <w:pPr>
              <w:keepNext/>
              <w:keepLines/>
              <w:spacing w:after="0" w:line="240" w:lineRule="auto"/>
              <w:jc w:val="right"/>
            </w:pPr>
            <w:r>
              <w:rPr>
                <w:sz w:val="18"/>
              </w:rPr>
              <w:t>109,4</w:t>
            </w:r>
          </w:p>
        </w:tc>
      </w:tr>
    </w:tbl>
    <w:p w14:paraId="0E0210EE" w14:textId="77777777" w:rsidR="00AF6B6A" w:rsidRDefault="00AF6B6A">
      <w:pPr>
        <w:spacing w:after="0"/>
      </w:pPr>
    </w:p>
    <w:p w14:paraId="00502B05" w14:textId="77777777" w:rsidR="00AF6B6A" w:rsidRDefault="00000000">
      <w:pPr>
        <w:jc w:val="both"/>
      </w:pPr>
      <w:r>
        <w:t>Rashodi za nabavu nefinancijske imovine iznose 19.168.521,42 EUR i za 9,4% su viši nego 2024. godine.</w:t>
      </w:r>
    </w:p>
    <w:p w14:paraId="1E8F06E8" w14:textId="77777777" w:rsidR="00AF6B6A" w:rsidRDefault="00AF6B6A"/>
    <w:p w14:paraId="7008AC93" w14:textId="77777777" w:rsidR="00AF6B6A" w:rsidRDefault="00000000">
      <w:pPr>
        <w:keepNext/>
        <w:spacing w:line="240" w:lineRule="auto"/>
        <w:jc w:val="center"/>
      </w:pPr>
      <w:r>
        <w:rPr>
          <w:sz w:val="28"/>
        </w:rPr>
        <w:lastRenderedPageBreak/>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6F557C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D177C5"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EC777D"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B0D5B8"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03CF7C"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3B8125"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D62BA6" w14:textId="77777777" w:rsidR="00AF6B6A" w:rsidRDefault="00000000">
            <w:pPr>
              <w:keepNext/>
              <w:keepLines/>
              <w:spacing w:after="0" w:line="240" w:lineRule="auto"/>
              <w:jc w:val="center"/>
            </w:pPr>
            <w:r>
              <w:rPr>
                <w:b/>
                <w:sz w:val="18"/>
              </w:rPr>
              <w:t>Indeks (%)</w:t>
            </w:r>
          </w:p>
        </w:tc>
      </w:tr>
      <w:tr w:rsidR="00AF6B6A" w14:paraId="7D270012" w14:textId="77777777">
        <w:tblPrEx>
          <w:tblCellMar>
            <w:top w:w="0" w:type="dxa"/>
            <w:bottom w:w="0" w:type="dxa"/>
          </w:tblCellMar>
        </w:tblPrEx>
        <w:trPr>
          <w:cantSplit/>
          <w:trHeight w:val="560"/>
        </w:trPr>
        <w:tc>
          <w:tcPr>
            <w:tcW w:w="700" w:type="dxa"/>
            <w:tcMar>
              <w:top w:w="0" w:type="dxa"/>
              <w:bottom w:w="0" w:type="dxa"/>
            </w:tcMar>
            <w:vAlign w:val="center"/>
          </w:tcPr>
          <w:p w14:paraId="3DA4D46D" w14:textId="77777777" w:rsidR="00AF6B6A" w:rsidRDefault="00000000">
            <w:pPr>
              <w:keepNext/>
              <w:keepLines/>
              <w:spacing w:after="0" w:line="240" w:lineRule="auto"/>
            </w:pPr>
            <w:r>
              <w:rPr>
                <w:sz w:val="18"/>
              </w:rPr>
              <w:t>4113</w:t>
            </w:r>
          </w:p>
        </w:tc>
        <w:tc>
          <w:tcPr>
            <w:tcW w:w="3180" w:type="dxa"/>
            <w:tcMar>
              <w:top w:w="0" w:type="dxa"/>
              <w:bottom w:w="0" w:type="dxa"/>
            </w:tcMar>
            <w:vAlign w:val="center"/>
          </w:tcPr>
          <w:p w14:paraId="777629D8" w14:textId="77777777" w:rsidR="00AF6B6A" w:rsidRDefault="00000000">
            <w:pPr>
              <w:keepNext/>
              <w:keepLines/>
              <w:spacing w:after="0" w:line="240" w:lineRule="auto"/>
            </w:pPr>
            <w:r>
              <w:rPr>
                <w:sz w:val="18"/>
              </w:rPr>
              <w:t>Ostala prirodna materijalna imovina</w:t>
            </w:r>
          </w:p>
        </w:tc>
        <w:tc>
          <w:tcPr>
            <w:tcW w:w="700" w:type="dxa"/>
            <w:tcMar>
              <w:top w:w="0" w:type="dxa"/>
              <w:bottom w:w="0" w:type="dxa"/>
            </w:tcMar>
            <w:vAlign w:val="center"/>
          </w:tcPr>
          <w:p w14:paraId="0B3031EB" w14:textId="77777777" w:rsidR="00AF6B6A" w:rsidRDefault="00000000">
            <w:pPr>
              <w:keepNext/>
              <w:keepLines/>
              <w:spacing w:after="0" w:line="240" w:lineRule="auto"/>
            </w:pPr>
            <w:r>
              <w:rPr>
                <w:sz w:val="18"/>
              </w:rPr>
              <w:t>4113</w:t>
            </w:r>
          </w:p>
        </w:tc>
        <w:tc>
          <w:tcPr>
            <w:tcW w:w="1860" w:type="dxa"/>
            <w:tcMar>
              <w:top w:w="0" w:type="dxa"/>
              <w:bottom w:w="0" w:type="dxa"/>
            </w:tcMar>
            <w:vAlign w:val="center"/>
          </w:tcPr>
          <w:p w14:paraId="52F7ADF5" w14:textId="77777777" w:rsidR="00AF6B6A" w:rsidRDefault="00000000">
            <w:pPr>
              <w:keepNext/>
              <w:keepLines/>
              <w:spacing w:after="0" w:line="240" w:lineRule="auto"/>
              <w:jc w:val="right"/>
            </w:pPr>
            <w:r>
              <w:rPr>
                <w:sz w:val="18"/>
              </w:rPr>
              <w:t>163.163,75</w:t>
            </w:r>
          </w:p>
        </w:tc>
        <w:tc>
          <w:tcPr>
            <w:tcW w:w="1860" w:type="dxa"/>
            <w:tcMar>
              <w:top w:w="0" w:type="dxa"/>
              <w:bottom w:w="0" w:type="dxa"/>
            </w:tcMar>
            <w:vAlign w:val="center"/>
          </w:tcPr>
          <w:p w14:paraId="02D96294" w14:textId="77777777" w:rsidR="00AF6B6A" w:rsidRDefault="00000000">
            <w:pPr>
              <w:keepNext/>
              <w:keepLines/>
              <w:spacing w:after="0" w:line="240" w:lineRule="auto"/>
              <w:jc w:val="right"/>
            </w:pPr>
            <w:r>
              <w:rPr>
                <w:sz w:val="18"/>
              </w:rPr>
              <w:t>245.707,13</w:t>
            </w:r>
          </w:p>
        </w:tc>
        <w:tc>
          <w:tcPr>
            <w:tcW w:w="700" w:type="dxa"/>
            <w:tcMar>
              <w:top w:w="0" w:type="dxa"/>
              <w:bottom w:w="0" w:type="dxa"/>
            </w:tcMar>
            <w:vAlign w:val="center"/>
          </w:tcPr>
          <w:p w14:paraId="68A781AF" w14:textId="77777777" w:rsidR="00AF6B6A" w:rsidRDefault="00000000">
            <w:pPr>
              <w:keepNext/>
              <w:keepLines/>
              <w:spacing w:after="0" w:line="240" w:lineRule="auto"/>
              <w:jc w:val="right"/>
            </w:pPr>
            <w:r>
              <w:rPr>
                <w:sz w:val="18"/>
              </w:rPr>
              <w:t>150,6</w:t>
            </w:r>
          </w:p>
        </w:tc>
      </w:tr>
    </w:tbl>
    <w:p w14:paraId="5C3AC027" w14:textId="77777777" w:rsidR="00AF6B6A" w:rsidRDefault="00AF6B6A">
      <w:pPr>
        <w:spacing w:after="0"/>
      </w:pPr>
    </w:p>
    <w:p w14:paraId="54EA7DB2" w14:textId="77777777" w:rsidR="00AF6B6A" w:rsidRDefault="00000000">
      <w:pPr>
        <w:jc w:val="both"/>
      </w:pPr>
      <w:r>
        <w:t>Ostala prirodna materijalna imovina (4113) povećana je u odnosu na prethodnu godinu 50,6% i na ovom kontu prikazani su rashodi za uređenje groblja, sustav navodnjavanja te rušenje i sadnju stabala. </w:t>
      </w:r>
    </w:p>
    <w:p w14:paraId="42E4F439" w14:textId="77777777" w:rsidR="00AF6B6A" w:rsidRDefault="00AF6B6A"/>
    <w:p w14:paraId="647A1163" w14:textId="77777777" w:rsidR="00AF6B6A"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BCFC9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F9E545"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DD6DE5"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CDBE43"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08E289"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E78593"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FC3024" w14:textId="77777777" w:rsidR="00AF6B6A" w:rsidRDefault="00000000">
            <w:pPr>
              <w:keepNext/>
              <w:keepLines/>
              <w:spacing w:after="0" w:line="240" w:lineRule="auto"/>
              <w:jc w:val="center"/>
            </w:pPr>
            <w:r>
              <w:rPr>
                <w:b/>
                <w:sz w:val="18"/>
              </w:rPr>
              <w:t>Indeks (%)</w:t>
            </w:r>
          </w:p>
        </w:tc>
      </w:tr>
      <w:tr w:rsidR="00AF6B6A" w14:paraId="44726AF3" w14:textId="77777777">
        <w:tblPrEx>
          <w:tblCellMar>
            <w:top w:w="0" w:type="dxa"/>
            <w:bottom w:w="0" w:type="dxa"/>
          </w:tblCellMar>
        </w:tblPrEx>
        <w:trPr>
          <w:cantSplit/>
          <w:trHeight w:val="560"/>
        </w:trPr>
        <w:tc>
          <w:tcPr>
            <w:tcW w:w="700" w:type="dxa"/>
            <w:tcMar>
              <w:top w:w="0" w:type="dxa"/>
              <w:bottom w:w="0" w:type="dxa"/>
            </w:tcMar>
            <w:vAlign w:val="center"/>
          </w:tcPr>
          <w:p w14:paraId="3D7E309E" w14:textId="77777777" w:rsidR="00AF6B6A" w:rsidRDefault="00000000">
            <w:pPr>
              <w:keepNext/>
              <w:keepLines/>
              <w:spacing w:after="0" w:line="240" w:lineRule="auto"/>
            </w:pPr>
            <w:r>
              <w:rPr>
                <w:sz w:val="18"/>
              </w:rPr>
              <w:t>4123</w:t>
            </w:r>
          </w:p>
        </w:tc>
        <w:tc>
          <w:tcPr>
            <w:tcW w:w="3180" w:type="dxa"/>
            <w:tcMar>
              <w:top w:w="0" w:type="dxa"/>
              <w:bottom w:w="0" w:type="dxa"/>
            </w:tcMar>
            <w:vAlign w:val="center"/>
          </w:tcPr>
          <w:p w14:paraId="2D1BE123" w14:textId="77777777" w:rsidR="00AF6B6A" w:rsidRDefault="00000000">
            <w:pPr>
              <w:keepNext/>
              <w:keepLines/>
              <w:spacing w:after="0" w:line="240" w:lineRule="auto"/>
            </w:pPr>
            <w:r>
              <w:rPr>
                <w:sz w:val="18"/>
              </w:rPr>
              <w:t>Licence</w:t>
            </w:r>
          </w:p>
        </w:tc>
        <w:tc>
          <w:tcPr>
            <w:tcW w:w="700" w:type="dxa"/>
            <w:tcMar>
              <w:top w:w="0" w:type="dxa"/>
              <w:bottom w:w="0" w:type="dxa"/>
            </w:tcMar>
            <w:vAlign w:val="center"/>
          </w:tcPr>
          <w:p w14:paraId="2198B6FC" w14:textId="77777777" w:rsidR="00AF6B6A" w:rsidRDefault="00000000">
            <w:pPr>
              <w:keepNext/>
              <w:keepLines/>
              <w:spacing w:after="0" w:line="240" w:lineRule="auto"/>
            </w:pPr>
            <w:r>
              <w:rPr>
                <w:sz w:val="18"/>
              </w:rPr>
              <w:t>4123</w:t>
            </w:r>
          </w:p>
        </w:tc>
        <w:tc>
          <w:tcPr>
            <w:tcW w:w="1860" w:type="dxa"/>
            <w:tcMar>
              <w:top w:w="0" w:type="dxa"/>
              <w:bottom w:w="0" w:type="dxa"/>
            </w:tcMar>
            <w:vAlign w:val="center"/>
          </w:tcPr>
          <w:p w14:paraId="7AB0AF05" w14:textId="77777777" w:rsidR="00AF6B6A" w:rsidRDefault="00000000">
            <w:pPr>
              <w:keepNext/>
              <w:keepLines/>
              <w:spacing w:after="0" w:line="240" w:lineRule="auto"/>
              <w:jc w:val="right"/>
            </w:pPr>
            <w:r>
              <w:rPr>
                <w:sz w:val="18"/>
              </w:rPr>
              <w:t>21.675,00</w:t>
            </w:r>
          </w:p>
        </w:tc>
        <w:tc>
          <w:tcPr>
            <w:tcW w:w="1860" w:type="dxa"/>
            <w:tcMar>
              <w:top w:w="0" w:type="dxa"/>
              <w:bottom w:w="0" w:type="dxa"/>
            </w:tcMar>
            <w:vAlign w:val="center"/>
          </w:tcPr>
          <w:p w14:paraId="67374BF9" w14:textId="77777777" w:rsidR="00AF6B6A" w:rsidRDefault="00000000">
            <w:pPr>
              <w:keepNext/>
              <w:keepLines/>
              <w:spacing w:after="0" w:line="240" w:lineRule="auto"/>
              <w:jc w:val="right"/>
            </w:pPr>
            <w:r>
              <w:rPr>
                <w:sz w:val="18"/>
              </w:rPr>
              <w:t>15.911,25</w:t>
            </w:r>
          </w:p>
        </w:tc>
        <w:tc>
          <w:tcPr>
            <w:tcW w:w="700" w:type="dxa"/>
            <w:tcMar>
              <w:top w:w="0" w:type="dxa"/>
              <w:bottom w:w="0" w:type="dxa"/>
            </w:tcMar>
            <w:vAlign w:val="center"/>
          </w:tcPr>
          <w:p w14:paraId="4F6A84B8" w14:textId="77777777" w:rsidR="00AF6B6A" w:rsidRDefault="00000000">
            <w:pPr>
              <w:keepNext/>
              <w:keepLines/>
              <w:spacing w:after="0" w:line="240" w:lineRule="auto"/>
              <w:jc w:val="right"/>
            </w:pPr>
            <w:r>
              <w:rPr>
                <w:sz w:val="18"/>
              </w:rPr>
              <w:t>73,4</w:t>
            </w:r>
          </w:p>
        </w:tc>
      </w:tr>
    </w:tbl>
    <w:p w14:paraId="747DB987" w14:textId="77777777" w:rsidR="00AF6B6A" w:rsidRDefault="00AF6B6A">
      <w:pPr>
        <w:spacing w:after="0"/>
      </w:pPr>
    </w:p>
    <w:p w14:paraId="1643544D" w14:textId="77777777" w:rsidR="00AF6B6A" w:rsidRDefault="00000000">
      <w:pPr>
        <w:jc w:val="both"/>
      </w:pPr>
      <w:r>
        <w:t>Licence (4123) evidentirani su rashodi za dvije dodatne licence za SPI aplikaciju te 54 licence za Microsoft office.</w:t>
      </w:r>
    </w:p>
    <w:p w14:paraId="3005C2F3" w14:textId="77777777" w:rsidR="00AF6B6A" w:rsidRDefault="00AF6B6A"/>
    <w:p w14:paraId="6814A7DC" w14:textId="77777777" w:rsidR="00AF6B6A" w:rsidRDefault="0000000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121F69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789CFA"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2B1EE6"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4D55F7"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E7BA99"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EE5F91"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D50B4E" w14:textId="77777777" w:rsidR="00AF6B6A" w:rsidRDefault="00000000">
            <w:pPr>
              <w:keepNext/>
              <w:keepLines/>
              <w:spacing w:after="0" w:line="240" w:lineRule="auto"/>
              <w:jc w:val="center"/>
            </w:pPr>
            <w:r>
              <w:rPr>
                <w:b/>
                <w:sz w:val="18"/>
              </w:rPr>
              <w:t>Indeks (%)</w:t>
            </w:r>
          </w:p>
        </w:tc>
      </w:tr>
      <w:tr w:rsidR="00AF6B6A" w14:paraId="37A39D65" w14:textId="77777777">
        <w:tblPrEx>
          <w:tblCellMar>
            <w:top w:w="0" w:type="dxa"/>
            <w:bottom w:w="0" w:type="dxa"/>
          </w:tblCellMar>
        </w:tblPrEx>
        <w:trPr>
          <w:cantSplit/>
          <w:trHeight w:val="560"/>
        </w:trPr>
        <w:tc>
          <w:tcPr>
            <w:tcW w:w="700" w:type="dxa"/>
            <w:tcMar>
              <w:top w:w="0" w:type="dxa"/>
              <w:bottom w:w="0" w:type="dxa"/>
            </w:tcMar>
            <w:vAlign w:val="center"/>
          </w:tcPr>
          <w:p w14:paraId="5A270B56" w14:textId="77777777" w:rsidR="00AF6B6A" w:rsidRDefault="00000000">
            <w:pPr>
              <w:keepNext/>
              <w:keepLines/>
              <w:spacing w:after="0" w:line="240" w:lineRule="auto"/>
            </w:pPr>
            <w:r>
              <w:rPr>
                <w:sz w:val="18"/>
              </w:rPr>
              <w:t>4213</w:t>
            </w:r>
          </w:p>
        </w:tc>
        <w:tc>
          <w:tcPr>
            <w:tcW w:w="3180" w:type="dxa"/>
            <w:tcMar>
              <w:top w:w="0" w:type="dxa"/>
              <w:bottom w:w="0" w:type="dxa"/>
            </w:tcMar>
            <w:vAlign w:val="center"/>
          </w:tcPr>
          <w:p w14:paraId="26EAC021" w14:textId="77777777" w:rsidR="00AF6B6A"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16D97C52" w14:textId="77777777" w:rsidR="00AF6B6A" w:rsidRDefault="00000000">
            <w:pPr>
              <w:keepNext/>
              <w:keepLines/>
              <w:spacing w:after="0" w:line="240" w:lineRule="auto"/>
            </w:pPr>
            <w:r>
              <w:rPr>
                <w:sz w:val="18"/>
              </w:rPr>
              <w:t>4213</w:t>
            </w:r>
          </w:p>
        </w:tc>
        <w:tc>
          <w:tcPr>
            <w:tcW w:w="1860" w:type="dxa"/>
            <w:tcMar>
              <w:top w:w="0" w:type="dxa"/>
              <w:bottom w:w="0" w:type="dxa"/>
            </w:tcMar>
            <w:vAlign w:val="center"/>
          </w:tcPr>
          <w:p w14:paraId="30831076" w14:textId="77777777" w:rsidR="00AF6B6A" w:rsidRDefault="00000000">
            <w:pPr>
              <w:keepNext/>
              <w:keepLines/>
              <w:spacing w:after="0" w:line="240" w:lineRule="auto"/>
              <w:jc w:val="right"/>
            </w:pPr>
            <w:r>
              <w:rPr>
                <w:sz w:val="18"/>
              </w:rPr>
              <w:t>679.288,93</w:t>
            </w:r>
          </w:p>
        </w:tc>
        <w:tc>
          <w:tcPr>
            <w:tcW w:w="1860" w:type="dxa"/>
            <w:tcMar>
              <w:top w:w="0" w:type="dxa"/>
              <w:bottom w:w="0" w:type="dxa"/>
            </w:tcMar>
            <w:vAlign w:val="center"/>
          </w:tcPr>
          <w:p w14:paraId="2F1B3AF6" w14:textId="77777777" w:rsidR="00AF6B6A" w:rsidRDefault="00000000">
            <w:pPr>
              <w:keepNext/>
              <w:keepLines/>
              <w:spacing w:after="0" w:line="240" w:lineRule="auto"/>
              <w:jc w:val="right"/>
            </w:pPr>
            <w:r>
              <w:rPr>
                <w:sz w:val="18"/>
              </w:rPr>
              <w:t>1.169.513,88</w:t>
            </w:r>
          </w:p>
        </w:tc>
        <w:tc>
          <w:tcPr>
            <w:tcW w:w="700" w:type="dxa"/>
            <w:tcMar>
              <w:top w:w="0" w:type="dxa"/>
              <w:bottom w:w="0" w:type="dxa"/>
            </w:tcMar>
            <w:vAlign w:val="center"/>
          </w:tcPr>
          <w:p w14:paraId="42B1BCC5" w14:textId="77777777" w:rsidR="00AF6B6A" w:rsidRDefault="00000000">
            <w:pPr>
              <w:keepNext/>
              <w:keepLines/>
              <w:spacing w:after="0" w:line="240" w:lineRule="auto"/>
              <w:jc w:val="right"/>
            </w:pPr>
            <w:r>
              <w:rPr>
                <w:sz w:val="18"/>
              </w:rPr>
              <w:t>172,2</w:t>
            </w:r>
          </w:p>
        </w:tc>
      </w:tr>
    </w:tbl>
    <w:p w14:paraId="1AD9FEA4" w14:textId="77777777" w:rsidR="00AF6B6A" w:rsidRDefault="00AF6B6A">
      <w:pPr>
        <w:spacing w:after="0"/>
      </w:pPr>
    </w:p>
    <w:p w14:paraId="380A8FFA" w14:textId="77777777" w:rsidR="00AF6B6A" w:rsidRDefault="00000000">
      <w:pPr>
        <w:jc w:val="both"/>
      </w:pPr>
      <w:r>
        <w:t>Ceste, željeznice i ostali prometni objekti (4213) iznose 1.169.513,88 EUR i veći su u odnosu na 2024. godinu za 72,2% te se odnose izvođenje radova na pojedinim ulicama u toku 2025. godine - Ulica Ivana Nepomuka, rekonstrukciju raskrižja Anine i Prešernove, odvojak Ulice Braće Radić u Gojancu, izgradnja prometnog otoka i ulice u Hallerovoj aleji.</w:t>
      </w:r>
    </w:p>
    <w:p w14:paraId="08423EB8" w14:textId="77777777" w:rsidR="00AF6B6A" w:rsidRDefault="00AF6B6A"/>
    <w:p w14:paraId="706CC499" w14:textId="77777777" w:rsidR="00AF6B6A" w:rsidRDefault="0000000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744857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BF24C9"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F2E899"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D1E42F"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2BDE87"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04B9D5"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5A0396" w14:textId="77777777" w:rsidR="00AF6B6A" w:rsidRDefault="00000000">
            <w:pPr>
              <w:keepNext/>
              <w:keepLines/>
              <w:spacing w:after="0" w:line="240" w:lineRule="auto"/>
              <w:jc w:val="center"/>
            </w:pPr>
            <w:r>
              <w:rPr>
                <w:b/>
                <w:sz w:val="18"/>
              </w:rPr>
              <w:t>Indeks (%)</w:t>
            </w:r>
          </w:p>
        </w:tc>
      </w:tr>
      <w:tr w:rsidR="00AF6B6A" w14:paraId="59611C2F" w14:textId="77777777">
        <w:tblPrEx>
          <w:tblCellMar>
            <w:top w:w="0" w:type="dxa"/>
            <w:bottom w:w="0" w:type="dxa"/>
          </w:tblCellMar>
        </w:tblPrEx>
        <w:trPr>
          <w:cantSplit/>
          <w:trHeight w:val="560"/>
        </w:trPr>
        <w:tc>
          <w:tcPr>
            <w:tcW w:w="700" w:type="dxa"/>
            <w:tcMar>
              <w:top w:w="0" w:type="dxa"/>
              <w:bottom w:w="0" w:type="dxa"/>
            </w:tcMar>
            <w:vAlign w:val="center"/>
          </w:tcPr>
          <w:p w14:paraId="165F0F2E" w14:textId="77777777" w:rsidR="00AF6B6A" w:rsidRDefault="00000000">
            <w:pPr>
              <w:keepNext/>
              <w:keepLines/>
              <w:spacing w:after="0" w:line="240" w:lineRule="auto"/>
            </w:pPr>
            <w:r>
              <w:rPr>
                <w:sz w:val="18"/>
              </w:rPr>
              <w:t>4214</w:t>
            </w:r>
          </w:p>
        </w:tc>
        <w:tc>
          <w:tcPr>
            <w:tcW w:w="3180" w:type="dxa"/>
            <w:tcMar>
              <w:top w:w="0" w:type="dxa"/>
              <w:bottom w:w="0" w:type="dxa"/>
            </w:tcMar>
            <w:vAlign w:val="center"/>
          </w:tcPr>
          <w:p w14:paraId="57D60830" w14:textId="77777777" w:rsidR="00AF6B6A"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49050748" w14:textId="77777777" w:rsidR="00AF6B6A" w:rsidRDefault="00000000">
            <w:pPr>
              <w:keepNext/>
              <w:keepLines/>
              <w:spacing w:after="0" w:line="240" w:lineRule="auto"/>
            </w:pPr>
            <w:r>
              <w:rPr>
                <w:sz w:val="18"/>
              </w:rPr>
              <w:t>4214</w:t>
            </w:r>
          </w:p>
        </w:tc>
        <w:tc>
          <w:tcPr>
            <w:tcW w:w="1860" w:type="dxa"/>
            <w:tcMar>
              <w:top w:w="0" w:type="dxa"/>
              <w:bottom w:w="0" w:type="dxa"/>
            </w:tcMar>
            <w:vAlign w:val="center"/>
          </w:tcPr>
          <w:p w14:paraId="60F539EF" w14:textId="77777777" w:rsidR="00AF6B6A" w:rsidRDefault="00000000">
            <w:pPr>
              <w:keepNext/>
              <w:keepLines/>
              <w:spacing w:after="0" w:line="240" w:lineRule="auto"/>
              <w:jc w:val="right"/>
            </w:pPr>
            <w:r>
              <w:rPr>
                <w:sz w:val="18"/>
              </w:rPr>
              <w:t>13.042.074,88</w:t>
            </w:r>
          </w:p>
        </w:tc>
        <w:tc>
          <w:tcPr>
            <w:tcW w:w="1860" w:type="dxa"/>
            <w:tcMar>
              <w:top w:w="0" w:type="dxa"/>
              <w:bottom w:w="0" w:type="dxa"/>
            </w:tcMar>
            <w:vAlign w:val="center"/>
          </w:tcPr>
          <w:p w14:paraId="3ABC6B6D" w14:textId="77777777" w:rsidR="00AF6B6A" w:rsidRDefault="00000000">
            <w:pPr>
              <w:keepNext/>
              <w:keepLines/>
              <w:spacing w:after="0" w:line="240" w:lineRule="auto"/>
              <w:jc w:val="right"/>
            </w:pPr>
            <w:r>
              <w:rPr>
                <w:sz w:val="18"/>
              </w:rPr>
              <w:t>14.865.406,88</w:t>
            </w:r>
          </w:p>
        </w:tc>
        <w:tc>
          <w:tcPr>
            <w:tcW w:w="700" w:type="dxa"/>
            <w:tcMar>
              <w:top w:w="0" w:type="dxa"/>
              <w:bottom w:w="0" w:type="dxa"/>
            </w:tcMar>
            <w:vAlign w:val="center"/>
          </w:tcPr>
          <w:p w14:paraId="69721A20" w14:textId="77777777" w:rsidR="00AF6B6A" w:rsidRDefault="00000000">
            <w:pPr>
              <w:keepNext/>
              <w:keepLines/>
              <w:spacing w:after="0" w:line="240" w:lineRule="auto"/>
              <w:jc w:val="right"/>
            </w:pPr>
            <w:r>
              <w:rPr>
                <w:sz w:val="18"/>
              </w:rPr>
              <w:t>114,0</w:t>
            </w:r>
          </w:p>
        </w:tc>
      </w:tr>
    </w:tbl>
    <w:p w14:paraId="7D8319C0" w14:textId="77777777" w:rsidR="00AF6B6A" w:rsidRDefault="00AF6B6A">
      <w:pPr>
        <w:spacing w:after="0"/>
      </w:pPr>
    </w:p>
    <w:p w14:paraId="297FE36C" w14:textId="77777777" w:rsidR="00AF6B6A" w:rsidRDefault="00000000">
      <w:pPr>
        <w:jc w:val="both"/>
      </w:pPr>
      <w:r>
        <w:t xml:space="preserve">Ostali građevinski objekti (4214) evidentirani su u iznosu od 14.865.406,88 EUR, a najznačajniji su rashodi za pripremne radove i odvoženje i oporabu otpada prema Ugovoru o sanaciji zatvorenog odlagališta neopasnog otpada na lokaciji gospodarska zona Brezje - </w:t>
      </w:r>
      <w:r>
        <w:lastRenderedPageBreak/>
        <w:t>10.195.272,38 EUR,  kao i za financiranje nabave  opreme, radova i nadzora ugradnje sustava rasvjete te pratećih nadzornih sustava u sklopu projekta „Modernizacija sustava javne rasvjete na području grada Varaždina" - u iznosu od 3.509.008,77 EUR. Osim toga, na ovom kontu evidentirani su rashodi za uređenje "Malog placa" u iznosu od 84.271,15 EUR te izgradnja teniske dvorane u iznosu od 730.810,04 EUR. </w:t>
      </w:r>
    </w:p>
    <w:p w14:paraId="2A4465B3" w14:textId="77777777" w:rsidR="00AF6B6A" w:rsidRDefault="00AF6B6A"/>
    <w:p w14:paraId="1CFE5819" w14:textId="77777777" w:rsidR="00AF6B6A"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230E5F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868947"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4D4C9A"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806152"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227B88"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E9C3BB"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06C708" w14:textId="77777777" w:rsidR="00AF6B6A" w:rsidRDefault="00000000">
            <w:pPr>
              <w:keepNext/>
              <w:keepLines/>
              <w:spacing w:after="0" w:line="240" w:lineRule="auto"/>
              <w:jc w:val="center"/>
            </w:pPr>
            <w:r>
              <w:rPr>
                <w:b/>
                <w:sz w:val="18"/>
              </w:rPr>
              <w:t>Indeks (%)</w:t>
            </w:r>
          </w:p>
        </w:tc>
      </w:tr>
      <w:tr w:rsidR="00AF6B6A" w14:paraId="25FCB8A6" w14:textId="77777777">
        <w:tblPrEx>
          <w:tblCellMar>
            <w:top w:w="0" w:type="dxa"/>
            <w:bottom w:w="0" w:type="dxa"/>
          </w:tblCellMar>
        </w:tblPrEx>
        <w:trPr>
          <w:cantSplit/>
          <w:trHeight w:val="560"/>
        </w:trPr>
        <w:tc>
          <w:tcPr>
            <w:tcW w:w="700" w:type="dxa"/>
            <w:tcMar>
              <w:top w:w="0" w:type="dxa"/>
              <w:bottom w:w="0" w:type="dxa"/>
            </w:tcMar>
            <w:vAlign w:val="center"/>
          </w:tcPr>
          <w:p w14:paraId="7973FE9B" w14:textId="77777777" w:rsidR="00AF6B6A" w:rsidRDefault="00000000">
            <w:pPr>
              <w:keepNext/>
              <w:keepLines/>
              <w:spacing w:after="0" w:line="240" w:lineRule="auto"/>
            </w:pPr>
            <w:r>
              <w:rPr>
                <w:sz w:val="18"/>
              </w:rPr>
              <w:t>4226</w:t>
            </w:r>
          </w:p>
        </w:tc>
        <w:tc>
          <w:tcPr>
            <w:tcW w:w="3180" w:type="dxa"/>
            <w:tcMar>
              <w:top w:w="0" w:type="dxa"/>
              <w:bottom w:w="0" w:type="dxa"/>
            </w:tcMar>
            <w:vAlign w:val="center"/>
          </w:tcPr>
          <w:p w14:paraId="71FB7977" w14:textId="77777777" w:rsidR="00AF6B6A" w:rsidRDefault="00000000">
            <w:pPr>
              <w:keepNext/>
              <w:keepLines/>
              <w:spacing w:after="0" w:line="240" w:lineRule="auto"/>
            </w:pPr>
            <w:r>
              <w:rPr>
                <w:sz w:val="18"/>
              </w:rPr>
              <w:t>Sportska i glazbena oprema</w:t>
            </w:r>
          </w:p>
        </w:tc>
        <w:tc>
          <w:tcPr>
            <w:tcW w:w="700" w:type="dxa"/>
            <w:tcMar>
              <w:top w:w="0" w:type="dxa"/>
              <w:bottom w:w="0" w:type="dxa"/>
            </w:tcMar>
            <w:vAlign w:val="center"/>
          </w:tcPr>
          <w:p w14:paraId="576FBF7E" w14:textId="77777777" w:rsidR="00AF6B6A" w:rsidRDefault="00000000">
            <w:pPr>
              <w:keepNext/>
              <w:keepLines/>
              <w:spacing w:after="0" w:line="240" w:lineRule="auto"/>
            </w:pPr>
            <w:r>
              <w:rPr>
                <w:sz w:val="18"/>
              </w:rPr>
              <w:t>4226</w:t>
            </w:r>
          </w:p>
        </w:tc>
        <w:tc>
          <w:tcPr>
            <w:tcW w:w="1860" w:type="dxa"/>
            <w:tcMar>
              <w:top w:w="0" w:type="dxa"/>
              <w:bottom w:w="0" w:type="dxa"/>
            </w:tcMar>
            <w:vAlign w:val="center"/>
          </w:tcPr>
          <w:p w14:paraId="751228F3" w14:textId="77777777" w:rsidR="00AF6B6A" w:rsidRDefault="00000000">
            <w:pPr>
              <w:keepNext/>
              <w:keepLines/>
              <w:spacing w:after="0" w:line="240" w:lineRule="auto"/>
              <w:jc w:val="right"/>
            </w:pPr>
            <w:r>
              <w:rPr>
                <w:sz w:val="18"/>
              </w:rPr>
              <w:t>0,00</w:t>
            </w:r>
          </w:p>
        </w:tc>
        <w:tc>
          <w:tcPr>
            <w:tcW w:w="1860" w:type="dxa"/>
            <w:tcMar>
              <w:top w:w="0" w:type="dxa"/>
              <w:bottom w:w="0" w:type="dxa"/>
            </w:tcMar>
            <w:vAlign w:val="center"/>
          </w:tcPr>
          <w:p w14:paraId="54B9ECDC" w14:textId="77777777" w:rsidR="00AF6B6A" w:rsidRDefault="00000000">
            <w:pPr>
              <w:keepNext/>
              <w:keepLines/>
              <w:spacing w:after="0" w:line="240" w:lineRule="auto"/>
              <w:jc w:val="right"/>
            </w:pPr>
            <w:r>
              <w:rPr>
                <w:sz w:val="18"/>
              </w:rPr>
              <w:t>7.570,38</w:t>
            </w:r>
          </w:p>
        </w:tc>
        <w:tc>
          <w:tcPr>
            <w:tcW w:w="700" w:type="dxa"/>
            <w:tcMar>
              <w:top w:w="0" w:type="dxa"/>
              <w:bottom w:w="0" w:type="dxa"/>
            </w:tcMar>
            <w:vAlign w:val="center"/>
          </w:tcPr>
          <w:p w14:paraId="7BC0940D" w14:textId="77777777" w:rsidR="00AF6B6A" w:rsidRDefault="00000000">
            <w:pPr>
              <w:keepNext/>
              <w:keepLines/>
              <w:spacing w:after="0" w:line="240" w:lineRule="auto"/>
              <w:jc w:val="right"/>
            </w:pPr>
            <w:r>
              <w:rPr>
                <w:sz w:val="18"/>
              </w:rPr>
              <w:t>-</w:t>
            </w:r>
          </w:p>
        </w:tc>
      </w:tr>
    </w:tbl>
    <w:p w14:paraId="6B4490F1" w14:textId="77777777" w:rsidR="00AF6B6A" w:rsidRDefault="00AF6B6A">
      <w:pPr>
        <w:spacing w:after="0"/>
      </w:pPr>
    </w:p>
    <w:p w14:paraId="4079692F" w14:textId="77777777" w:rsidR="00AF6B6A" w:rsidRDefault="00000000">
      <w:pPr>
        <w:jc w:val="both"/>
      </w:pPr>
      <w:r>
        <w:t>Sportska i glazbena oprema (4226) odnosi se na nabavu rekvizita za projekt „Poboljšanje materijalnih uvjeta u Dječjem vrtiću“.</w:t>
      </w:r>
    </w:p>
    <w:p w14:paraId="0CC4FED4" w14:textId="77777777" w:rsidR="00AF6B6A" w:rsidRDefault="00AF6B6A"/>
    <w:p w14:paraId="7C70BAD1" w14:textId="77777777" w:rsidR="00AF6B6A" w:rsidRDefault="0000000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315ED9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BBDFC9"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84DF3C"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74EA00"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41B661"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FE5970"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BA125A" w14:textId="77777777" w:rsidR="00AF6B6A" w:rsidRDefault="00000000">
            <w:pPr>
              <w:keepNext/>
              <w:keepLines/>
              <w:spacing w:after="0" w:line="240" w:lineRule="auto"/>
              <w:jc w:val="center"/>
            </w:pPr>
            <w:r>
              <w:rPr>
                <w:b/>
                <w:sz w:val="18"/>
              </w:rPr>
              <w:t>Indeks (%)</w:t>
            </w:r>
          </w:p>
        </w:tc>
      </w:tr>
      <w:tr w:rsidR="00AF6B6A" w14:paraId="53C160DF" w14:textId="77777777">
        <w:tblPrEx>
          <w:tblCellMar>
            <w:top w:w="0" w:type="dxa"/>
            <w:bottom w:w="0" w:type="dxa"/>
          </w:tblCellMar>
        </w:tblPrEx>
        <w:trPr>
          <w:cantSplit/>
          <w:trHeight w:val="560"/>
        </w:trPr>
        <w:tc>
          <w:tcPr>
            <w:tcW w:w="700" w:type="dxa"/>
            <w:tcMar>
              <w:top w:w="0" w:type="dxa"/>
              <w:bottom w:w="0" w:type="dxa"/>
            </w:tcMar>
            <w:vAlign w:val="center"/>
          </w:tcPr>
          <w:p w14:paraId="1ECA859A" w14:textId="77777777" w:rsidR="00AF6B6A" w:rsidRDefault="00000000">
            <w:pPr>
              <w:keepNext/>
              <w:keepLines/>
              <w:spacing w:after="0" w:line="240" w:lineRule="auto"/>
            </w:pPr>
            <w:r>
              <w:rPr>
                <w:sz w:val="18"/>
              </w:rPr>
              <w:t>4231</w:t>
            </w:r>
          </w:p>
        </w:tc>
        <w:tc>
          <w:tcPr>
            <w:tcW w:w="3180" w:type="dxa"/>
            <w:tcMar>
              <w:top w:w="0" w:type="dxa"/>
              <w:bottom w:w="0" w:type="dxa"/>
            </w:tcMar>
            <w:vAlign w:val="center"/>
          </w:tcPr>
          <w:p w14:paraId="5A741BB7" w14:textId="77777777" w:rsidR="00AF6B6A"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33583338" w14:textId="77777777" w:rsidR="00AF6B6A" w:rsidRDefault="00000000">
            <w:pPr>
              <w:keepNext/>
              <w:keepLines/>
              <w:spacing w:after="0" w:line="240" w:lineRule="auto"/>
            </w:pPr>
            <w:r>
              <w:rPr>
                <w:sz w:val="18"/>
              </w:rPr>
              <w:t>4231</w:t>
            </w:r>
          </w:p>
        </w:tc>
        <w:tc>
          <w:tcPr>
            <w:tcW w:w="1860" w:type="dxa"/>
            <w:tcMar>
              <w:top w:w="0" w:type="dxa"/>
              <w:bottom w:w="0" w:type="dxa"/>
            </w:tcMar>
            <w:vAlign w:val="center"/>
          </w:tcPr>
          <w:p w14:paraId="59B1A8DC" w14:textId="77777777" w:rsidR="00AF6B6A" w:rsidRDefault="00000000">
            <w:pPr>
              <w:keepNext/>
              <w:keepLines/>
              <w:spacing w:after="0" w:line="240" w:lineRule="auto"/>
              <w:jc w:val="right"/>
            </w:pPr>
            <w:r>
              <w:rPr>
                <w:sz w:val="18"/>
              </w:rPr>
              <w:t>0,00</w:t>
            </w:r>
          </w:p>
        </w:tc>
        <w:tc>
          <w:tcPr>
            <w:tcW w:w="1860" w:type="dxa"/>
            <w:tcMar>
              <w:top w:w="0" w:type="dxa"/>
              <w:bottom w:w="0" w:type="dxa"/>
            </w:tcMar>
            <w:vAlign w:val="center"/>
          </w:tcPr>
          <w:p w14:paraId="0FA7DEA2" w14:textId="77777777" w:rsidR="00AF6B6A" w:rsidRDefault="00000000">
            <w:pPr>
              <w:keepNext/>
              <w:keepLines/>
              <w:spacing w:after="0" w:line="240" w:lineRule="auto"/>
              <w:jc w:val="right"/>
            </w:pPr>
            <w:r>
              <w:rPr>
                <w:sz w:val="18"/>
              </w:rPr>
              <w:t>31.624,07</w:t>
            </w:r>
          </w:p>
        </w:tc>
        <w:tc>
          <w:tcPr>
            <w:tcW w:w="700" w:type="dxa"/>
            <w:tcMar>
              <w:top w:w="0" w:type="dxa"/>
              <w:bottom w:w="0" w:type="dxa"/>
            </w:tcMar>
            <w:vAlign w:val="center"/>
          </w:tcPr>
          <w:p w14:paraId="3614B71B" w14:textId="77777777" w:rsidR="00AF6B6A" w:rsidRDefault="00000000">
            <w:pPr>
              <w:keepNext/>
              <w:keepLines/>
              <w:spacing w:after="0" w:line="240" w:lineRule="auto"/>
              <w:jc w:val="right"/>
            </w:pPr>
            <w:r>
              <w:rPr>
                <w:sz w:val="18"/>
              </w:rPr>
              <w:t>-</w:t>
            </w:r>
          </w:p>
        </w:tc>
      </w:tr>
    </w:tbl>
    <w:p w14:paraId="3CAE3197" w14:textId="77777777" w:rsidR="00AF6B6A" w:rsidRDefault="00AF6B6A">
      <w:pPr>
        <w:spacing w:after="0"/>
      </w:pPr>
    </w:p>
    <w:p w14:paraId="01B13AE3" w14:textId="77777777" w:rsidR="00AF6B6A" w:rsidRDefault="00000000">
      <w:pPr>
        <w:jc w:val="both"/>
      </w:pPr>
      <w:r>
        <w:t>Prijevozna sredstva u cestovnom prometu (4231) nabavljeno je novo vozilo koje će služiti za potrebe zaposlenika grada Varaždina kod službenih putovanja te smanjiti troškove održavanja starih i dotrajalih službenih automobila Grada.</w:t>
      </w:r>
    </w:p>
    <w:p w14:paraId="072CBF74" w14:textId="77777777" w:rsidR="00AF6B6A" w:rsidRDefault="00AF6B6A"/>
    <w:p w14:paraId="5AB98654" w14:textId="77777777" w:rsidR="00AF6B6A"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228690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633666"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2AB534"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767709"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C18AE2"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F9C830"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8182E0" w14:textId="77777777" w:rsidR="00AF6B6A" w:rsidRDefault="00000000">
            <w:pPr>
              <w:keepNext/>
              <w:keepLines/>
              <w:spacing w:after="0" w:line="240" w:lineRule="auto"/>
              <w:jc w:val="center"/>
            </w:pPr>
            <w:r>
              <w:rPr>
                <w:b/>
                <w:sz w:val="18"/>
              </w:rPr>
              <w:t>Indeks (%)</w:t>
            </w:r>
          </w:p>
        </w:tc>
      </w:tr>
      <w:tr w:rsidR="00AF6B6A" w14:paraId="2C238AD5" w14:textId="77777777">
        <w:tblPrEx>
          <w:tblCellMar>
            <w:top w:w="0" w:type="dxa"/>
            <w:bottom w:w="0" w:type="dxa"/>
          </w:tblCellMar>
        </w:tblPrEx>
        <w:trPr>
          <w:cantSplit/>
          <w:trHeight w:val="560"/>
        </w:trPr>
        <w:tc>
          <w:tcPr>
            <w:tcW w:w="700" w:type="dxa"/>
            <w:tcMar>
              <w:top w:w="0" w:type="dxa"/>
              <w:bottom w:w="0" w:type="dxa"/>
            </w:tcMar>
            <w:vAlign w:val="center"/>
          </w:tcPr>
          <w:p w14:paraId="1F4F8541" w14:textId="77777777" w:rsidR="00AF6B6A" w:rsidRDefault="00000000">
            <w:pPr>
              <w:keepNext/>
              <w:keepLines/>
              <w:spacing w:after="0" w:line="240" w:lineRule="auto"/>
            </w:pPr>
            <w:r>
              <w:rPr>
                <w:sz w:val="18"/>
              </w:rPr>
              <w:t>4242</w:t>
            </w:r>
          </w:p>
        </w:tc>
        <w:tc>
          <w:tcPr>
            <w:tcW w:w="3180" w:type="dxa"/>
            <w:tcMar>
              <w:top w:w="0" w:type="dxa"/>
              <w:bottom w:w="0" w:type="dxa"/>
            </w:tcMar>
            <w:vAlign w:val="center"/>
          </w:tcPr>
          <w:p w14:paraId="48B7D100" w14:textId="77777777" w:rsidR="00AF6B6A" w:rsidRDefault="00000000">
            <w:pPr>
              <w:keepNext/>
              <w:keepLines/>
              <w:spacing w:after="0" w:line="240" w:lineRule="auto"/>
            </w:pPr>
            <w:r>
              <w:rPr>
                <w:sz w:val="18"/>
              </w:rPr>
              <w:t>Umjetnička djela (izložena u galerijama, muzejima i slično)</w:t>
            </w:r>
          </w:p>
        </w:tc>
        <w:tc>
          <w:tcPr>
            <w:tcW w:w="700" w:type="dxa"/>
            <w:tcMar>
              <w:top w:w="0" w:type="dxa"/>
              <w:bottom w:w="0" w:type="dxa"/>
            </w:tcMar>
            <w:vAlign w:val="center"/>
          </w:tcPr>
          <w:p w14:paraId="4ED9C44A" w14:textId="77777777" w:rsidR="00AF6B6A" w:rsidRDefault="00000000">
            <w:pPr>
              <w:keepNext/>
              <w:keepLines/>
              <w:spacing w:after="0" w:line="240" w:lineRule="auto"/>
            </w:pPr>
            <w:r>
              <w:rPr>
                <w:sz w:val="18"/>
              </w:rPr>
              <w:t>4242</w:t>
            </w:r>
          </w:p>
        </w:tc>
        <w:tc>
          <w:tcPr>
            <w:tcW w:w="1860" w:type="dxa"/>
            <w:tcMar>
              <w:top w:w="0" w:type="dxa"/>
              <w:bottom w:w="0" w:type="dxa"/>
            </w:tcMar>
            <w:vAlign w:val="center"/>
          </w:tcPr>
          <w:p w14:paraId="134C3C2D" w14:textId="77777777" w:rsidR="00AF6B6A" w:rsidRDefault="00000000">
            <w:pPr>
              <w:keepNext/>
              <w:keepLines/>
              <w:spacing w:after="0" w:line="240" w:lineRule="auto"/>
              <w:jc w:val="right"/>
            </w:pPr>
            <w:r>
              <w:rPr>
                <w:sz w:val="18"/>
              </w:rPr>
              <w:t>0,00</w:t>
            </w:r>
          </w:p>
        </w:tc>
        <w:tc>
          <w:tcPr>
            <w:tcW w:w="1860" w:type="dxa"/>
            <w:tcMar>
              <w:top w:w="0" w:type="dxa"/>
              <w:bottom w:w="0" w:type="dxa"/>
            </w:tcMar>
            <w:vAlign w:val="center"/>
          </w:tcPr>
          <w:p w14:paraId="6EAD5666" w14:textId="77777777" w:rsidR="00AF6B6A" w:rsidRDefault="00000000">
            <w:pPr>
              <w:keepNext/>
              <w:keepLines/>
              <w:spacing w:after="0" w:line="240" w:lineRule="auto"/>
              <w:jc w:val="right"/>
            </w:pPr>
            <w:r>
              <w:rPr>
                <w:sz w:val="18"/>
              </w:rPr>
              <w:t>22.048,63</w:t>
            </w:r>
          </w:p>
        </w:tc>
        <w:tc>
          <w:tcPr>
            <w:tcW w:w="700" w:type="dxa"/>
            <w:tcMar>
              <w:top w:w="0" w:type="dxa"/>
              <w:bottom w:w="0" w:type="dxa"/>
            </w:tcMar>
            <w:vAlign w:val="center"/>
          </w:tcPr>
          <w:p w14:paraId="0AD86EE9" w14:textId="77777777" w:rsidR="00AF6B6A" w:rsidRDefault="00000000">
            <w:pPr>
              <w:keepNext/>
              <w:keepLines/>
              <w:spacing w:after="0" w:line="240" w:lineRule="auto"/>
              <w:jc w:val="right"/>
            </w:pPr>
            <w:r>
              <w:rPr>
                <w:sz w:val="18"/>
              </w:rPr>
              <w:t>-</w:t>
            </w:r>
          </w:p>
        </w:tc>
      </w:tr>
    </w:tbl>
    <w:p w14:paraId="6A91CAF8" w14:textId="77777777" w:rsidR="00AF6B6A" w:rsidRDefault="00AF6B6A">
      <w:pPr>
        <w:spacing w:after="0"/>
      </w:pPr>
    </w:p>
    <w:p w14:paraId="762471C5" w14:textId="77777777" w:rsidR="00AF6B6A" w:rsidRDefault="00000000">
      <w:pPr>
        <w:jc w:val="both"/>
      </w:pPr>
      <w:r>
        <w:t>Umjetnička djela (izložena u galerijama, muzejima i slično) (4242) iznose 22.048,63 EUR i odnose se na radove na izgradnji javne plastike na rotoru u Optujskoj ulici u Varaždinu.</w:t>
      </w:r>
    </w:p>
    <w:p w14:paraId="6F2D7F0F" w14:textId="77777777" w:rsidR="00AF6B6A" w:rsidRDefault="00AF6B6A"/>
    <w:p w14:paraId="3F706340" w14:textId="77777777" w:rsidR="00AF6B6A" w:rsidRDefault="00000000">
      <w:pPr>
        <w:keepNext/>
        <w:spacing w:line="240" w:lineRule="auto"/>
        <w:jc w:val="center"/>
      </w:pPr>
      <w:r>
        <w:rPr>
          <w:sz w:val="28"/>
        </w:rPr>
        <w:lastRenderedPageBreak/>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25F845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9C7161"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B67BFD"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BF8C61"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791545"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31BC1A"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0A0897" w14:textId="77777777" w:rsidR="00AF6B6A" w:rsidRDefault="00000000">
            <w:pPr>
              <w:keepNext/>
              <w:keepLines/>
              <w:spacing w:after="0" w:line="240" w:lineRule="auto"/>
              <w:jc w:val="center"/>
            </w:pPr>
            <w:r>
              <w:rPr>
                <w:b/>
                <w:sz w:val="18"/>
              </w:rPr>
              <w:t>Indeks (%)</w:t>
            </w:r>
          </w:p>
        </w:tc>
      </w:tr>
      <w:tr w:rsidR="00AF6B6A" w14:paraId="1635047C" w14:textId="77777777">
        <w:tblPrEx>
          <w:tblCellMar>
            <w:top w:w="0" w:type="dxa"/>
            <w:bottom w:w="0" w:type="dxa"/>
          </w:tblCellMar>
        </w:tblPrEx>
        <w:trPr>
          <w:cantSplit/>
          <w:trHeight w:val="560"/>
        </w:trPr>
        <w:tc>
          <w:tcPr>
            <w:tcW w:w="700" w:type="dxa"/>
            <w:tcMar>
              <w:top w:w="0" w:type="dxa"/>
              <w:bottom w:w="0" w:type="dxa"/>
            </w:tcMar>
            <w:vAlign w:val="center"/>
          </w:tcPr>
          <w:p w14:paraId="409C6A20" w14:textId="77777777" w:rsidR="00AF6B6A" w:rsidRDefault="00000000">
            <w:pPr>
              <w:keepNext/>
              <w:keepLines/>
              <w:spacing w:after="0" w:line="240" w:lineRule="auto"/>
            </w:pPr>
            <w:r>
              <w:rPr>
                <w:sz w:val="18"/>
              </w:rPr>
              <w:t>4251</w:t>
            </w:r>
          </w:p>
        </w:tc>
        <w:tc>
          <w:tcPr>
            <w:tcW w:w="3180" w:type="dxa"/>
            <w:tcMar>
              <w:top w:w="0" w:type="dxa"/>
              <w:bottom w:w="0" w:type="dxa"/>
            </w:tcMar>
            <w:vAlign w:val="center"/>
          </w:tcPr>
          <w:p w14:paraId="4BA034BA" w14:textId="77777777" w:rsidR="00AF6B6A" w:rsidRDefault="00000000">
            <w:pPr>
              <w:keepNext/>
              <w:keepLines/>
              <w:spacing w:after="0" w:line="240" w:lineRule="auto"/>
            </w:pPr>
            <w:r>
              <w:rPr>
                <w:sz w:val="18"/>
              </w:rPr>
              <w:t>Višegodišnji nasadi</w:t>
            </w:r>
          </w:p>
        </w:tc>
        <w:tc>
          <w:tcPr>
            <w:tcW w:w="700" w:type="dxa"/>
            <w:tcMar>
              <w:top w:w="0" w:type="dxa"/>
              <w:bottom w:w="0" w:type="dxa"/>
            </w:tcMar>
            <w:vAlign w:val="center"/>
          </w:tcPr>
          <w:p w14:paraId="5C139B03" w14:textId="77777777" w:rsidR="00AF6B6A" w:rsidRDefault="00000000">
            <w:pPr>
              <w:keepNext/>
              <w:keepLines/>
              <w:spacing w:after="0" w:line="240" w:lineRule="auto"/>
            </w:pPr>
            <w:r>
              <w:rPr>
                <w:sz w:val="18"/>
              </w:rPr>
              <w:t>4251</w:t>
            </w:r>
          </w:p>
        </w:tc>
        <w:tc>
          <w:tcPr>
            <w:tcW w:w="1860" w:type="dxa"/>
            <w:tcMar>
              <w:top w:w="0" w:type="dxa"/>
              <w:bottom w:w="0" w:type="dxa"/>
            </w:tcMar>
            <w:vAlign w:val="center"/>
          </w:tcPr>
          <w:p w14:paraId="772E9AF4" w14:textId="77777777" w:rsidR="00AF6B6A" w:rsidRDefault="00000000">
            <w:pPr>
              <w:keepNext/>
              <w:keepLines/>
              <w:spacing w:after="0" w:line="240" w:lineRule="auto"/>
              <w:jc w:val="right"/>
            </w:pPr>
            <w:r>
              <w:rPr>
                <w:sz w:val="18"/>
              </w:rPr>
              <w:t>88.282,13</w:t>
            </w:r>
          </w:p>
        </w:tc>
        <w:tc>
          <w:tcPr>
            <w:tcW w:w="1860" w:type="dxa"/>
            <w:tcMar>
              <w:top w:w="0" w:type="dxa"/>
              <w:bottom w:w="0" w:type="dxa"/>
            </w:tcMar>
            <w:vAlign w:val="center"/>
          </w:tcPr>
          <w:p w14:paraId="51FB6CD0" w14:textId="77777777" w:rsidR="00AF6B6A" w:rsidRDefault="00000000">
            <w:pPr>
              <w:keepNext/>
              <w:keepLines/>
              <w:spacing w:after="0" w:line="240" w:lineRule="auto"/>
              <w:jc w:val="right"/>
            </w:pPr>
            <w:r>
              <w:rPr>
                <w:sz w:val="18"/>
              </w:rPr>
              <w:t>159.378,51</w:t>
            </w:r>
          </w:p>
        </w:tc>
        <w:tc>
          <w:tcPr>
            <w:tcW w:w="700" w:type="dxa"/>
            <w:tcMar>
              <w:top w:w="0" w:type="dxa"/>
              <w:bottom w:w="0" w:type="dxa"/>
            </w:tcMar>
            <w:vAlign w:val="center"/>
          </w:tcPr>
          <w:p w14:paraId="358A503D" w14:textId="77777777" w:rsidR="00AF6B6A" w:rsidRDefault="00000000">
            <w:pPr>
              <w:keepNext/>
              <w:keepLines/>
              <w:spacing w:after="0" w:line="240" w:lineRule="auto"/>
              <w:jc w:val="right"/>
            </w:pPr>
            <w:r>
              <w:rPr>
                <w:sz w:val="18"/>
              </w:rPr>
              <w:t>180,5</w:t>
            </w:r>
          </w:p>
        </w:tc>
      </w:tr>
    </w:tbl>
    <w:p w14:paraId="0AF9D81A" w14:textId="77777777" w:rsidR="00AF6B6A" w:rsidRDefault="00AF6B6A">
      <w:pPr>
        <w:spacing w:after="0"/>
      </w:pPr>
    </w:p>
    <w:p w14:paraId="2DE402C3" w14:textId="77777777" w:rsidR="00AF6B6A" w:rsidRDefault="00000000">
      <w:pPr>
        <w:jc w:val="both"/>
      </w:pPr>
      <w:r>
        <w:t>Višegodišnji nasadi (4251) iznose 159.378,51 EUR i odnose se na nabavu i sadnju stabala i i drvenastog grmlja na području grada Varaždina, kao i sadni materijal za uređenje dječjeg igrališta u Gojancu.</w:t>
      </w:r>
    </w:p>
    <w:p w14:paraId="1F4AB7DA" w14:textId="77777777" w:rsidR="00AF6B6A" w:rsidRDefault="00AF6B6A"/>
    <w:p w14:paraId="107BE4D7" w14:textId="77777777" w:rsidR="00AF6B6A" w:rsidRDefault="0000000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BA950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06B9E2"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1612A2"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D58A52"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2851D7"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D88E15"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CF818A" w14:textId="77777777" w:rsidR="00AF6B6A" w:rsidRDefault="00000000">
            <w:pPr>
              <w:keepNext/>
              <w:keepLines/>
              <w:spacing w:after="0" w:line="240" w:lineRule="auto"/>
              <w:jc w:val="center"/>
            </w:pPr>
            <w:r>
              <w:rPr>
                <w:b/>
                <w:sz w:val="18"/>
              </w:rPr>
              <w:t>Indeks (%)</w:t>
            </w:r>
          </w:p>
        </w:tc>
      </w:tr>
      <w:tr w:rsidR="00AF6B6A" w14:paraId="0A27ED6A" w14:textId="77777777">
        <w:tblPrEx>
          <w:tblCellMar>
            <w:top w:w="0" w:type="dxa"/>
            <w:bottom w:w="0" w:type="dxa"/>
          </w:tblCellMar>
        </w:tblPrEx>
        <w:trPr>
          <w:cantSplit/>
          <w:trHeight w:val="560"/>
        </w:trPr>
        <w:tc>
          <w:tcPr>
            <w:tcW w:w="700" w:type="dxa"/>
            <w:tcMar>
              <w:top w:w="0" w:type="dxa"/>
              <w:bottom w:w="0" w:type="dxa"/>
            </w:tcMar>
            <w:vAlign w:val="center"/>
          </w:tcPr>
          <w:p w14:paraId="7988792C" w14:textId="77777777" w:rsidR="00AF6B6A" w:rsidRDefault="00000000">
            <w:pPr>
              <w:keepNext/>
              <w:keepLines/>
              <w:spacing w:after="0" w:line="240" w:lineRule="auto"/>
            </w:pPr>
            <w:r>
              <w:rPr>
                <w:sz w:val="18"/>
              </w:rPr>
              <w:t>426</w:t>
            </w:r>
          </w:p>
        </w:tc>
        <w:tc>
          <w:tcPr>
            <w:tcW w:w="3180" w:type="dxa"/>
            <w:tcMar>
              <w:top w:w="0" w:type="dxa"/>
              <w:bottom w:w="0" w:type="dxa"/>
            </w:tcMar>
            <w:vAlign w:val="center"/>
          </w:tcPr>
          <w:p w14:paraId="039D9103" w14:textId="77777777" w:rsidR="00AF6B6A" w:rsidRDefault="00000000">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4ED0D5AA" w14:textId="77777777" w:rsidR="00AF6B6A" w:rsidRDefault="00000000">
            <w:pPr>
              <w:keepNext/>
              <w:keepLines/>
              <w:spacing w:after="0" w:line="240" w:lineRule="auto"/>
            </w:pPr>
            <w:r>
              <w:rPr>
                <w:sz w:val="18"/>
              </w:rPr>
              <w:t>426</w:t>
            </w:r>
          </w:p>
        </w:tc>
        <w:tc>
          <w:tcPr>
            <w:tcW w:w="1860" w:type="dxa"/>
            <w:tcMar>
              <w:top w:w="0" w:type="dxa"/>
              <w:bottom w:w="0" w:type="dxa"/>
            </w:tcMar>
            <w:vAlign w:val="center"/>
          </w:tcPr>
          <w:p w14:paraId="3CA1AFBA" w14:textId="77777777" w:rsidR="00AF6B6A" w:rsidRDefault="00000000">
            <w:pPr>
              <w:keepNext/>
              <w:keepLines/>
              <w:spacing w:after="0" w:line="240" w:lineRule="auto"/>
              <w:jc w:val="right"/>
            </w:pPr>
            <w:r>
              <w:rPr>
                <w:sz w:val="18"/>
              </w:rPr>
              <w:t>202.138,75</w:t>
            </w:r>
          </w:p>
        </w:tc>
        <w:tc>
          <w:tcPr>
            <w:tcW w:w="1860" w:type="dxa"/>
            <w:tcMar>
              <w:top w:w="0" w:type="dxa"/>
              <w:bottom w:w="0" w:type="dxa"/>
            </w:tcMar>
            <w:vAlign w:val="center"/>
          </w:tcPr>
          <w:p w14:paraId="21DF4BAA" w14:textId="77777777" w:rsidR="00AF6B6A" w:rsidRDefault="00000000">
            <w:pPr>
              <w:keepNext/>
              <w:keepLines/>
              <w:spacing w:after="0" w:line="240" w:lineRule="auto"/>
              <w:jc w:val="right"/>
            </w:pPr>
            <w:r>
              <w:rPr>
                <w:sz w:val="18"/>
              </w:rPr>
              <w:t>137.401,39</w:t>
            </w:r>
          </w:p>
        </w:tc>
        <w:tc>
          <w:tcPr>
            <w:tcW w:w="700" w:type="dxa"/>
            <w:tcMar>
              <w:top w:w="0" w:type="dxa"/>
              <w:bottom w:w="0" w:type="dxa"/>
            </w:tcMar>
            <w:vAlign w:val="center"/>
          </w:tcPr>
          <w:p w14:paraId="0E666B1D" w14:textId="77777777" w:rsidR="00AF6B6A" w:rsidRDefault="00000000">
            <w:pPr>
              <w:keepNext/>
              <w:keepLines/>
              <w:spacing w:after="0" w:line="240" w:lineRule="auto"/>
              <w:jc w:val="right"/>
            </w:pPr>
            <w:r>
              <w:rPr>
                <w:sz w:val="18"/>
              </w:rPr>
              <w:t>68,0</w:t>
            </w:r>
          </w:p>
        </w:tc>
      </w:tr>
    </w:tbl>
    <w:p w14:paraId="38CB9FA0" w14:textId="77777777" w:rsidR="00AF6B6A" w:rsidRDefault="00AF6B6A">
      <w:pPr>
        <w:spacing w:after="0"/>
      </w:pPr>
    </w:p>
    <w:p w14:paraId="76B785BA" w14:textId="77777777" w:rsidR="00AF6B6A" w:rsidRDefault="00000000">
      <w:pPr>
        <w:jc w:val="both"/>
      </w:pPr>
      <w:r>
        <w:t>Ulaganja u računalne programe (4262) odnosi se  na povećanje zbog razvoja tehničkog rješenja - Interaktivna TV Platforma.</w:t>
      </w:r>
    </w:p>
    <w:p w14:paraId="79923125" w14:textId="77777777" w:rsidR="00AF6B6A" w:rsidRDefault="00AF6B6A"/>
    <w:p w14:paraId="78744CF4" w14:textId="77777777" w:rsidR="00AF6B6A" w:rsidRDefault="0000000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6EDCA1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B917DE"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D5506C"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7B48F4"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AA8D17"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F353AA"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DD9652" w14:textId="77777777" w:rsidR="00AF6B6A" w:rsidRDefault="00000000">
            <w:pPr>
              <w:keepNext/>
              <w:keepLines/>
              <w:spacing w:after="0" w:line="240" w:lineRule="auto"/>
              <w:jc w:val="center"/>
            </w:pPr>
            <w:r>
              <w:rPr>
                <w:b/>
                <w:sz w:val="18"/>
              </w:rPr>
              <w:t>Indeks (%)</w:t>
            </w:r>
          </w:p>
        </w:tc>
      </w:tr>
      <w:tr w:rsidR="00AF6B6A" w14:paraId="08A15AD4" w14:textId="77777777">
        <w:tblPrEx>
          <w:tblCellMar>
            <w:top w:w="0" w:type="dxa"/>
            <w:bottom w:w="0" w:type="dxa"/>
          </w:tblCellMar>
        </w:tblPrEx>
        <w:trPr>
          <w:cantSplit/>
          <w:trHeight w:val="560"/>
        </w:trPr>
        <w:tc>
          <w:tcPr>
            <w:tcW w:w="700" w:type="dxa"/>
            <w:tcMar>
              <w:top w:w="0" w:type="dxa"/>
              <w:bottom w:w="0" w:type="dxa"/>
            </w:tcMar>
            <w:vAlign w:val="center"/>
          </w:tcPr>
          <w:p w14:paraId="2128CF8D" w14:textId="77777777" w:rsidR="00AF6B6A" w:rsidRDefault="00000000">
            <w:pPr>
              <w:keepNext/>
              <w:keepLines/>
              <w:spacing w:after="0" w:line="240" w:lineRule="auto"/>
            </w:pPr>
            <w:r>
              <w:rPr>
                <w:sz w:val="18"/>
              </w:rPr>
              <w:t>451</w:t>
            </w:r>
          </w:p>
        </w:tc>
        <w:tc>
          <w:tcPr>
            <w:tcW w:w="3180" w:type="dxa"/>
            <w:tcMar>
              <w:top w:w="0" w:type="dxa"/>
              <w:bottom w:w="0" w:type="dxa"/>
            </w:tcMar>
            <w:vAlign w:val="center"/>
          </w:tcPr>
          <w:p w14:paraId="35AF13B0" w14:textId="77777777" w:rsidR="00AF6B6A"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18931B03" w14:textId="77777777" w:rsidR="00AF6B6A" w:rsidRDefault="00000000">
            <w:pPr>
              <w:keepNext/>
              <w:keepLines/>
              <w:spacing w:after="0" w:line="240" w:lineRule="auto"/>
            </w:pPr>
            <w:r>
              <w:rPr>
                <w:sz w:val="18"/>
              </w:rPr>
              <w:t>451</w:t>
            </w:r>
          </w:p>
        </w:tc>
        <w:tc>
          <w:tcPr>
            <w:tcW w:w="1860" w:type="dxa"/>
            <w:tcMar>
              <w:top w:w="0" w:type="dxa"/>
              <w:bottom w:w="0" w:type="dxa"/>
            </w:tcMar>
            <w:vAlign w:val="center"/>
          </w:tcPr>
          <w:p w14:paraId="5E7FEDEC" w14:textId="77777777" w:rsidR="00AF6B6A" w:rsidRDefault="00000000">
            <w:pPr>
              <w:keepNext/>
              <w:keepLines/>
              <w:spacing w:after="0" w:line="240" w:lineRule="auto"/>
              <w:jc w:val="right"/>
            </w:pPr>
            <w:r>
              <w:rPr>
                <w:sz w:val="18"/>
              </w:rPr>
              <w:t>224.738,84</w:t>
            </w:r>
          </w:p>
        </w:tc>
        <w:tc>
          <w:tcPr>
            <w:tcW w:w="1860" w:type="dxa"/>
            <w:tcMar>
              <w:top w:w="0" w:type="dxa"/>
              <w:bottom w:w="0" w:type="dxa"/>
            </w:tcMar>
            <w:vAlign w:val="center"/>
          </w:tcPr>
          <w:p w14:paraId="6CD75A89" w14:textId="77777777" w:rsidR="00AF6B6A" w:rsidRDefault="00000000">
            <w:pPr>
              <w:keepNext/>
              <w:keepLines/>
              <w:spacing w:after="0" w:line="240" w:lineRule="auto"/>
              <w:jc w:val="right"/>
            </w:pPr>
            <w:r>
              <w:rPr>
                <w:sz w:val="18"/>
              </w:rPr>
              <w:t>308.187,35</w:t>
            </w:r>
          </w:p>
        </w:tc>
        <w:tc>
          <w:tcPr>
            <w:tcW w:w="700" w:type="dxa"/>
            <w:tcMar>
              <w:top w:w="0" w:type="dxa"/>
              <w:bottom w:w="0" w:type="dxa"/>
            </w:tcMar>
            <w:vAlign w:val="center"/>
          </w:tcPr>
          <w:p w14:paraId="1CB937E0" w14:textId="77777777" w:rsidR="00AF6B6A" w:rsidRDefault="00000000">
            <w:pPr>
              <w:keepNext/>
              <w:keepLines/>
              <w:spacing w:after="0" w:line="240" w:lineRule="auto"/>
              <w:jc w:val="right"/>
            </w:pPr>
            <w:r>
              <w:rPr>
                <w:sz w:val="18"/>
              </w:rPr>
              <w:t>137,1</w:t>
            </w:r>
          </w:p>
        </w:tc>
      </w:tr>
    </w:tbl>
    <w:p w14:paraId="31263150" w14:textId="77777777" w:rsidR="00AF6B6A" w:rsidRDefault="00AF6B6A">
      <w:pPr>
        <w:spacing w:after="0"/>
      </w:pPr>
    </w:p>
    <w:p w14:paraId="213E89AE" w14:textId="77777777" w:rsidR="00AF6B6A" w:rsidRDefault="00000000">
      <w:pPr>
        <w:jc w:val="both"/>
      </w:pPr>
      <w:r>
        <w:t>Dodatna ulaganja na građevinskim objektima (451) bilježe povećanje za 37,1% i odnose se izradu projektne dokumentacije za projekte Sinagoge, edukacijsko-sportski centar "Beli kip", skladišne hale za potrebe Grada Varaždina i gradskih ustanova, rekonstrukciju sanitarnih čvorova te sanaciju zida Vile Oršić.</w:t>
      </w:r>
    </w:p>
    <w:p w14:paraId="773493DA" w14:textId="77777777" w:rsidR="00AF6B6A" w:rsidRDefault="00AF6B6A"/>
    <w:p w14:paraId="37190284" w14:textId="77777777" w:rsidR="00AF6B6A" w:rsidRDefault="00000000">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15FFA4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824038"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E67C04"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304680"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0D53F3"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5A6024"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27128E" w14:textId="77777777" w:rsidR="00AF6B6A" w:rsidRDefault="00000000">
            <w:pPr>
              <w:keepNext/>
              <w:keepLines/>
              <w:spacing w:after="0" w:line="240" w:lineRule="auto"/>
              <w:jc w:val="center"/>
            </w:pPr>
            <w:r>
              <w:rPr>
                <w:b/>
                <w:sz w:val="18"/>
              </w:rPr>
              <w:t>Indeks (%)</w:t>
            </w:r>
          </w:p>
        </w:tc>
      </w:tr>
      <w:tr w:rsidR="00AF6B6A" w14:paraId="298E6194" w14:textId="77777777">
        <w:tblPrEx>
          <w:tblCellMar>
            <w:top w:w="0" w:type="dxa"/>
            <w:bottom w:w="0" w:type="dxa"/>
          </w:tblCellMar>
        </w:tblPrEx>
        <w:trPr>
          <w:cantSplit/>
          <w:trHeight w:val="560"/>
        </w:trPr>
        <w:tc>
          <w:tcPr>
            <w:tcW w:w="700" w:type="dxa"/>
            <w:tcMar>
              <w:top w:w="0" w:type="dxa"/>
              <w:bottom w:w="0" w:type="dxa"/>
            </w:tcMar>
            <w:vAlign w:val="center"/>
          </w:tcPr>
          <w:p w14:paraId="0B52126E" w14:textId="77777777" w:rsidR="00AF6B6A" w:rsidRDefault="00000000">
            <w:pPr>
              <w:keepNext/>
              <w:keepLines/>
              <w:spacing w:after="0" w:line="240" w:lineRule="auto"/>
            </w:pPr>
            <w:r>
              <w:rPr>
                <w:sz w:val="18"/>
              </w:rPr>
              <w:t>452</w:t>
            </w:r>
          </w:p>
        </w:tc>
        <w:tc>
          <w:tcPr>
            <w:tcW w:w="3180" w:type="dxa"/>
            <w:tcMar>
              <w:top w:w="0" w:type="dxa"/>
              <w:bottom w:w="0" w:type="dxa"/>
            </w:tcMar>
            <w:vAlign w:val="center"/>
          </w:tcPr>
          <w:p w14:paraId="6699BCBB" w14:textId="77777777" w:rsidR="00AF6B6A" w:rsidRDefault="00000000">
            <w:pPr>
              <w:keepNext/>
              <w:keepLines/>
              <w:spacing w:after="0" w:line="240" w:lineRule="auto"/>
            </w:pPr>
            <w:r>
              <w:rPr>
                <w:sz w:val="18"/>
              </w:rPr>
              <w:t>Dodatna ulaganja na postrojenjima i opremi</w:t>
            </w:r>
          </w:p>
        </w:tc>
        <w:tc>
          <w:tcPr>
            <w:tcW w:w="700" w:type="dxa"/>
            <w:tcMar>
              <w:top w:w="0" w:type="dxa"/>
              <w:bottom w:w="0" w:type="dxa"/>
            </w:tcMar>
            <w:vAlign w:val="center"/>
          </w:tcPr>
          <w:p w14:paraId="32EA49AC" w14:textId="77777777" w:rsidR="00AF6B6A" w:rsidRDefault="00000000">
            <w:pPr>
              <w:keepNext/>
              <w:keepLines/>
              <w:spacing w:after="0" w:line="240" w:lineRule="auto"/>
            </w:pPr>
            <w:r>
              <w:rPr>
                <w:sz w:val="18"/>
              </w:rPr>
              <w:t>452</w:t>
            </w:r>
          </w:p>
        </w:tc>
        <w:tc>
          <w:tcPr>
            <w:tcW w:w="1860" w:type="dxa"/>
            <w:tcMar>
              <w:top w:w="0" w:type="dxa"/>
              <w:bottom w:w="0" w:type="dxa"/>
            </w:tcMar>
            <w:vAlign w:val="center"/>
          </w:tcPr>
          <w:p w14:paraId="61190900" w14:textId="77777777" w:rsidR="00AF6B6A" w:rsidRDefault="00000000">
            <w:pPr>
              <w:keepNext/>
              <w:keepLines/>
              <w:spacing w:after="0" w:line="240" w:lineRule="auto"/>
              <w:jc w:val="right"/>
            </w:pPr>
            <w:r>
              <w:rPr>
                <w:sz w:val="18"/>
              </w:rPr>
              <w:t>0,00</w:t>
            </w:r>
          </w:p>
        </w:tc>
        <w:tc>
          <w:tcPr>
            <w:tcW w:w="1860" w:type="dxa"/>
            <w:tcMar>
              <w:top w:w="0" w:type="dxa"/>
              <w:bottom w:w="0" w:type="dxa"/>
            </w:tcMar>
            <w:vAlign w:val="center"/>
          </w:tcPr>
          <w:p w14:paraId="187B23B6" w14:textId="77777777" w:rsidR="00AF6B6A" w:rsidRDefault="00000000">
            <w:pPr>
              <w:keepNext/>
              <w:keepLines/>
              <w:spacing w:after="0" w:line="240" w:lineRule="auto"/>
              <w:jc w:val="right"/>
            </w:pPr>
            <w:r>
              <w:rPr>
                <w:sz w:val="18"/>
              </w:rPr>
              <w:t>5.496,25</w:t>
            </w:r>
          </w:p>
        </w:tc>
        <w:tc>
          <w:tcPr>
            <w:tcW w:w="700" w:type="dxa"/>
            <w:tcMar>
              <w:top w:w="0" w:type="dxa"/>
              <w:bottom w:w="0" w:type="dxa"/>
            </w:tcMar>
            <w:vAlign w:val="center"/>
          </w:tcPr>
          <w:p w14:paraId="4715C75F" w14:textId="77777777" w:rsidR="00AF6B6A" w:rsidRDefault="00000000">
            <w:pPr>
              <w:keepNext/>
              <w:keepLines/>
              <w:spacing w:after="0" w:line="240" w:lineRule="auto"/>
              <w:jc w:val="right"/>
            </w:pPr>
            <w:r>
              <w:rPr>
                <w:sz w:val="18"/>
              </w:rPr>
              <w:t>-</w:t>
            </w:r>
          </w:p>
        </w:tc>
      </w:tr>
    </w:tbl>
    <w:p w14:paraId="56422AFA" w14:textId="77777777" w:rsidR="00AF6B6A" w:rsidRDefault="00AF6B6A">
      <w:pPr>
        <w:spacing w:after="0"/>
      </w:pPr>
    </w:p>
    <w:p w14:paraId="4377AC36" w14:textId="77777777" w:rsidR="00AF6B6A" w:rsidRDefault="00000000">
      <w:pPr>
        <w:jc w:val="both"/>
      </w:pPr>
      <w:r>
        <w:t>Dodatna ulaganja na postrojenjima i opremi (452) iznose 5.496,25 EUR i odnose se na nadogradnja postojećih poslužitelja te na nabavu eksternog diskovnog prostora.</w:t>
      </w:r>
    </w:p>
    <w:p w14:paraId="611662F7" w14:textId="77777777" w:rsidR="00AF6B6A" w:rsidRDefault="00AF6B6A"/>
    <w:p w14:paraId="32DF8548" w14:textId="77777777" w:rsidR="00AF6B6A" w:rsidRDefault="00000000">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4F5FA7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08F60B"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D3EA80"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D7F68F"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1A9F6C"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62B30D"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7BB1C5" w14:textId="77777777" w:rsidR="00AF6B6A" w:rsidRDefault="00000000">
            <w:pPr>
              <w:keepNext/>
              <w:keepLines/>
              <w:spacing w:after="0" w:line="240" w:lineRule="auto"/>
              <w:jc w:val="center"/>
            </w:pPr>
            <w:r>
              <w:rPr>
                <w:b/>
                <w:sz w:val="18"/>
              </w:rPr>
              <w:t>Indeks (%)</w:t>
            </w:r>
          </w:p>
        </w:tc>
      </w:tr>
      <w:tr w:rsidR="00AF6B6A" w14:paraId="4ED37B3E" w14:textId="77777777">
        <w:tblPrEx>
          <w:tblCellMar>
            <w:top w:w="0" w:type="dxa"/>
            <w:bottom w:w="0" w:type="dxa"/>
          </w:tblCellMar>
        </w:tblPrEx>
        <w:trPr>
          <w:cantSplit/>
          <w:trHeight w:val="560"/>
        </w:trPr>
        <w:tc>
          <w:tcPr>
            <w:tcW w:w="700" w:type="dxa"/>
            <w:tcMar>
              <w:top w:w="0" w:type="dxa"/>
              <w:bottom w:w="0" w:type="dxa"/>
            </w:tcMar>
            <w:vAlign w:val="center"/>
          </w:tcPr>
          <w:p w14:paraId="23A26C40" w14:textId="77777777" w:rsidR="00AF6B6A" w:rsidRDefault="00000000">
            <w:pPr>
              <w:keepNext/>
              <w:keepLines/>
              <w:spacing w:after="0" w:line="240" w:lineRule="auto"/>
            </w:pPr>
            <w:r>
              <w:rPr>
                <w:sz w:val="18"/>
              </w:rPr>
              <w:t>8</w:t>
            </w:r>
          </w:p>
        </w:tc>
        <w:tc>
          <w:tcPr>
            <w:tcW w:w="3180" w:type="dxa"/>
            <w:tcMar>
              <w:top w:w="0" w:type="dxa"/>
              <w:bottom w:w="0" w:type="dxa"/>
            </w:tcMar>
            <w:vAlign w:val="center"/>
          </w:tcPr>
          <w:p w14:paraId="291F91F7" w14:textId="77777777" w:rsidR="00AF6B6A"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B2F8BD8" w14:textId="77777777" w:rsidR="00AF6B6A" w:rsidRDefault="00000000">
            <w:pPr>
              <w:keepNext/>
              <w:keepLines/>
              <w:spacing w:after="0" w:line="240" w:lineRule="auto"/>
            </w:pPr>
            <w:r>
              <w:rPr>
                <w:sz w:val="18"/>
              </w:rPr>
              <w:t>8</w:t>
            </w:r>
          </w:p>
        </w:tc>
        <w:tc>
          <w:tcPr>
            <w:tcW w:w="1860" w:type="dxa"/>
            <w:tcMar>
              <w:top w:w="0" w:type="dxa"/>
              <w:bottom w:w="0" w:type="dxa"/>
            </w:tcMar>
            <w:vAlign w:val="center"/>
          </w:tcPr>
          <w:p w14:paraId="2A14B284" w14:textId="77777777" w:rsidR="00AF6B6A" w:rsidRDefault="00000000">
            <w:pPr>
              <w:keepNext/>
              <w:keepLines/>
              <w:spacing w:after="0" w:line="240" w:lineRule="auto"/>
              <w:jc w:val="right"/>
            </w:pPr>
            <w:r>
              <w:rPr>
                <w:sz w:val="18"/>
              </w:rPr>
              <w:t>0,00</w:t>
            </w:r>
          </w:p>
        </w:tc>
        <w:tc>
          <w:tcPr>
            <w:tcW w:w="1860" w:type="dxa"/>
            <w:tcMar>
              <w:top w:w="0" w:type="dxa"/>
              <w:bottom w:w="0" w:type="dxa"/>
            </w:tcMar>
            <w:vAlign w:val="center"/>
          </w:tcPr>
          <w:p w14:paraId="77112BA5" w14:textId="77777777" w:rsidR="00AF6B6A" w:rsidRDefault="00000000">
            <w:pPr>
              <w:keepNext/>
              <w:keepLines/>
              <w:spacing w:after="0" w:line="240" w:lineRule="auto"/>
              <w:jc w:val="right"/>
            </w:pPr>
            <w:r>
              <w:rPr>
                <w:sz w:val="18"/>
              </w:rPr>
              <w:t>4.410.509,83</w:t>
            </w:r>
          </w:p>
        </w:tc>
        <w:tc>
          <w:tcPr>
            <w:tcW w:w="700" w:type="dxa"/>
            <w:tcMar>
              <w:top w:w="0" w:type="dxa"/>
              <w:bottom w:w="0" w:type="dxa"/>
            </w:tcMar>
            <w:vAlign w:val="center"/>
          </w:tcPr>
          <w:p w14:paraId="68C453E6" w14:textId="77777777" w:rsidR="00AF6B6A" w:rsidRDefault="00000000">
            <w:pPr>
              <w:keepNext/>
              <w:keepLines/>
              <w:spacing w:after="0" w:line="240" w:lineRule="auto"/>
              <w:jc w:val="right"/>
            </w:pPr>
            <w:r>
              <w:rPr>
                <w:sz w:val="18"/>
              </w:rPr>
              <w:t>-</w:t>
            </w:r>
          </w:p>
        </w:tc>
      </w:tr>
    </w:tbl>
    <w:p w14:paraId="222BC773" w14:textId="77777777" w:rsidR="00AF6B6A" w:rsidRDefault="00AF6B6A">
      <w:pPr>
        <w:spacing w:after="0"/>
      </w:pPr>
    </w:p>
    <w:p w14:paraId="048F5D06" w14:textId="77777777" w:rsidR="00AF6B6A" w:rsidRDefault="00000000">
      <w:pPr>
        <w:jc w:val="both"/>
      </w:pPr>
      <w:r>
        <w:t>Primici od financijske imovine i zaduživanja (8)  u 2025. godini ostvareni su u iznosu 4.410.509,83 EUR, a odnose se na zaduženja za projekte Modernizacije sustava javne rasvjete na području grada Varaždina, Energetska obnova Dječjeg vrtića u Biškupcu te  Energetska obnove I. i III.  osnovne škole.</w:t>
      </w:r>
    </w:p>
    <w:p w14:paraId="0AF06548" w14:textId="77777777" w:rsidR="00AF6B6A" w:rsidRDefault="00AF6B6A"/>
    <w:p w14:paraId="436A342D" w14:textId="77777777" w:rsidR="00AF6B6A" w:rsidRDefault="00000000">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222A9B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6084F4"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D95FFA"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43E3C6"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85D06A"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992FCE"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CB9547" w14:textId="77777777" w:rsidR="00AF6B6A" w:rsidRDefault="00000000">
            <w:pPr>
              <w:keepNext/>
              <w:keepLines/>
              <w:spacing w:after="0" w:line="240" w:lineRule="auto"/>
              <w:jc w:val="center"/>
            </w:pPr>
            <w:r>
              <w:rPr>
                <w:b/>
                <w:sz w:val="18"/>
              </w:rPr>
              <w:t>Indeks (%)</w:t>
            </w:r>
          </w:p>
        </w:tc>
      </w:tr>
      <w:tr w:rsidR="00AF6B6A" w14:paraId="0FA3926C" w14:textId="77777777">
        <w:tblPrEx>
          <w:tblCellMar>
            <w:top w:w="0" w:type="dxa"/>
            <w:bottom w:w="0" w:type="dxa"/>
          </w:tblCellMar>
        </w:tblPrEx>
        <w:trPr>
          <w:cantSplit/>
          <w:trHeight w:val="560"/>
        </w:trPr>
        <w:tc>
          <w:tcPr>
            <w:tcW w:w="700" w:type="dxa"/>
            <w:tcMar>
              <w:top w:w="0" w:type="dxa"/>
              <w:bottom w:w="0" w:type="dxa"/>
            </w:tcMar>
            <w:vAlign w:val="center"/>
          </w:tcPr>
          <w:p w14:paraId="5798FB16" w14:textId="77777777" w:rsidR="00AF6B6A" w:rsidRDefault="00000000">
            <w:pPr>
              <w:keepNext/>
              <w:keepLines/>
              <w:spacing w:after="0" w:line="240" w:lineRule="auto"/>
            </w:pPr>
            <w:r>
              <w:rPr>
                <w:sz w:val="18"/>
              </w:rPr>
              <w:t>5</w:t>
            </w:r>
          </w:p>
        </w:tc>
        <w:tc>
          <w:tcPr>
            <w:tcW w:w="3180" w:type="dxa"/>
            <w:tcMar>
              <w:top w:w="0" w:type="dxa"/>
              <w:bottom w:w="0" w:type="dxa"/>
            </w:tcMar>
            <w:vAlign w:val="center"/>
          </w:tcPr>
          <w:p w14:paraId="22E56312" w14:textId="77777777" w:rsidR="00AF6B6A"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516687A" w14:textId="77777777" w:rsidR="00AF6B6A" w:rsidRDefault="00000000">
            <w:pPr>
              <w:keepNext/>
              <w:keepLines/>
              <w:spacing w:after="0" w:line="240" w:lineRule="auto"/>
            </w:pPr>
            <w:r>
              <w:rPr>
                <w:sz w:val="18"/>
              </w:rPr>
              <w:t>5</w:t>
            </w:r>
          </w:p>
        </w:tc>
        <w:tc>
          <w:tcPr>
            <w:tcW w:w="1860" w:type="dxa"/>
            <w:tcMar>
              <w:top w:w="0" w:type="dxa"/>
              <w:bottom w:w="0" w:type="dxa"/>
            </w:tcMar>
            <w:vAlign w:val="center"/>
          </w:tcPr>
          <w:p w14:paraId="57B30056" w14:textId="77777777" w:rsidR="00AF6B6A" w:rsidRDefault="00000000">
            <w:pPr>
              <w:keepNext/>
              <w:keepLines/>
              <w:spacing w:after="0" w:line="240" w:lineRule="auto"/>
              <w:jc w:val="right"/>
            </w:pPr>
            <w:r>
              <w:rPr>
                <w:sz w:val="18"/>
              </w:rPr>
              <w:t>859.353,45</w:t>
            </w:r>
          </w:p>
        </w:tc>
        <w:tc>
          <w:tcPr>
            <w:tcW w:w="1860" w:type="dxa"/>
            <w:tcMar>
              <w:top w:w="0" w:type="dxa"/>
              <w:bottom w:w="0" w:type="dxa"/>
            </w:tcMar>
            <w:vAlign w:val="center"/>
          </w:tcPr>
          <w:p w14:paraId="0920D24A" w14:textId="77777777" w:rsidR="00AF6B6A" w:rsidRDefault="00000000">
            <w:pPr>
              <w:keepNext/>
              <w:keepLines/>
              <w:spacing w:after="0" w:line="240" w:lineRule="auto"/>
              <w:jc w:val="right"/>
            </w:pPr>
            <w:r>
              <w:rPr>
                <w:sz w:val="18"/>
              </w:rPr>
              <w:t>1.470.313,80</w:t>
            </w:r>
          </w:p>
        </w:tc>
        <w:tc>
          <w:tcPr>
            <w:tcW w:w="700" w:type="dxa"/>
            <w:tcMar>
              <w:top w:w="0" w:type="dxa"/>
              <w:bottom w:w="0" w:type="dxa"/>
            </w:tcMar>
            <w:vAlign w:val="center"/>
          </w:tcPr>
          <w:p w14:paraId="4B301BB3" w14:textId="77777777" w:rsidR="00AF6B6A" w:rsidRDefault="00000000">
            <w:pPr>
              <w:keepNext/>
              <w:keepLines/>
              <w:spacing w:after="0" w:line="240" w:lineRule="auto"/>
              <w:jc w:val="right"/>
            </w:pPr>
            <w:r>
              <w:rPr>
                <w:sz w:val="18"/>
              </w:rPr>
              <w:t>171,1</w:t>
            </w:r>
          </w:p>
        </w:tc>
      </w:tr>
    </w:tbl>
    <w:p w14:paraId="1134FE65" w14:textId="77777777" w:rsidR="00AF6B6A" w:rsidRDefault="00AF6B6A">
      <w:pPr>
        <w:spacing w:after="0"/>
      </w:pPr>
    </w:p>
    <w:p w14:paraId="39103545" w14:textId="77777777" w:rsidR="00AF6B6A" w:rsidRDefault="00000000">
      <w:pPr>
        <w:jc w:val="both"/>
      </w:pPr>
      <w:r>
        <w:t>Izdaci za financijsku imovinu i otplate zajmova (5) iznose 1.470.313,80 EUR, 71,1% više nego 2024. godine.</w:t>
      </w:r>
    </w:p>
    <w:p w14:paraId="3DD863F8" w14:textId="77777777" w:rsidR="00AF6B6A" w:rsidRDefault="00000000">
      <w:r>
        <w:t> </w:t>
      </w:r>
    </w:p>
    <w:p w14:paraId="317FFB02" w14:textId="77777777" w:rsidR="00AF6B6A" w:rsidRDefault="00AF6B6A"/>
    <w:p w14:paraId="15CD545F" w14:textId="77777777" w:rsidR="00AF6B6A" w:rsidRDefault="00000000">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4A5111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2A6F6C"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012A78"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C72C30"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F716A3"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2C45F4"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847A34" w14:textId="77777777" w:rsidR="00AF6B6A" w:rsidRDefault="00000000">
            <w:pPr>
              <w:keepNext/>
              <w:keepLines/>
              <w:spacing w:after="0" w:line="240" w:lineRule="auto"/>
              <w:jc w:val="center"/>
            </w:pPr>
            <w:r>
              <w:rPr>
                <w:b/>
                <w:sz w:val="18"/>
              </w:rPr>
              <w:t>Indeks (%)</w:t>
            </w:r>
          </w:p>
        </w:tc>
      </w:tr>
      <w:tr w:rsidR="00AF6B6A" w14:paraId="3723F238" w14:textId="77777777">
        <w:tblPrEx>
          <w:tblCellMar>
            <w:top w:w="0" w:type="dxa"/>
            <w:bottom w:w="0" w:type="dxa"/>
          </w:tblCellMar>
        </w:tblPrEx>
        <w:trPr>
          <w:cantSplit/>
          <w:trHeight w:val="560"/>
        </w:trPr>
        <w:tc>
          <w:tcPr>
            <w:tcW w:w="700" w:type="dxa"/>
            <w:tcMar>
              <w:top w:w="0" w:type="dxa"/>
              <w:bottom w:w="0" w:type="dxa"/>
            </w:tcMar>
            <w:vAlign w:val="center"/>
          </w:tcPr>
          <w:p w14:paraId="231B474F" w14:textId="77777777" w:rsidR="00AF6B6A" w:rsidRDefault="00000000">
            <w:pPr>
              <w:keepNext/>
              <w:keepLines/>
              <w:spacing w:after="0" w:line="240" w:lineRule="auto"/>
            </w:pPr>
            <w:r>
              <w:rPr>
                <w:sz w:val="18"/>
              </w:rPr>
              <w:t>514</w:t>
            </w:r>
          </w:p>
        </w:tc>
        <w:tc>
          <w:tcPr>
            <w:tcW w:w="3180" w:type="dxa"/>
            <w:tcMar>
              <w:top w:w="0" w:type="dxa"/>
              <w:bottom w:w="0" w:type="dxa"/>
            </w:tcMar>
            <w:vAlign w:val="center"/>
          </w:tcPr>
          <w:p w14:paraId="688B698E" w14:textId="77777777" w:rsidR="00AF6B6A" w:rsidRDefault="00000000">
            <w:pPr>
              <w:keepNext/>
              <w:keepLines/>
              <w:spacing w:after="0" w:line="240" w:lineRule="auto"/>
            </w:pPr>
            <w:r>
              <w:rPr>
                <w:sz w:val="18"/>
              </w:rPr>
              <w:t>Izdaci za dane zajmove trgovačkim društvima u javnom sektoru</w:t>
            </w:r>
          </w:p>
        </w:tc>
        <w:tc>
          <w:tcPr>
            <w:tcW w:w="700" w:type="dxa"/>
            <w:tcMar>
              <w:top w:w="0" w:type="dxa"/>
              <w:bottom w:w="0" w:type="dxa"/>
            </w:tcMar>
            <w:vAlign w:val="center"/>
          </w:tcPr>
          <w:p w14:paraId="475D4DD8" w14:textId="77777777" w:rsidR="00AF6B6A" w:rsidRDefault="00000000">
            <w:pPr>
              <w:keepNext/>
              <w:keepLines/>
              <w:spacing w:after="0" w:line="240" w:lineRule="auto"/>
            </w:pPr>
            <w:r>
              <w:rPr>
                <w:sz w:val="18"/>
              </w:rPr>
              <w:t>514</w:t>
            </w:r>
          </w:p>
        </w:tc>
        <w:tc>
          <w:tcPr>
            <w:tcW w:w="1860" w:type="dxa"/>
            <w:tcMar>
              <w:top w:w="0" w:type="dxa"/>
              <w:bottom w:w="0" w:type="dxa"/>
            </w:tcMar>
            <w:vAlign w:val="center"/>
          </w:tcPr>
          <w:p w14:paraId="61802877" w14:textId="77777777" w:rsidR="00AF6B6A" w:rsidRDefault="00000000">
            <w:pPr>
              <w:keepNext/>
              <w:keepLines/>
              <w:spacing w:after="0" w:line="240" w:lineRule="auto"/>
              <w:jc w:val="right"/>
            </w:pPr>
            <w:r>
              <w:rPr>
                <w:sz w:val="18"/>
              </w:rPr>
              <w:t>0,00</w:t>
            </w:r>
          </w:p>
        </w:tc>
        <w:tc>
          <w:tcPr>
            <w:tcW w:w="1860" w:type="dxa"/>
            <w:tcMar>
              <w:top w:w="0" w:type="dxa"/>
              <w:bottom w:w="0" w:type="dxa"/>
            </w:tcMar>
            <w:vAlign w:val="center"/>
          </w:tcPr>
          <w:p w14:paraId="0C9D44A3" w14:textId="77777777" w:rsidR="00AF6B6A" w:rsidRDefault="00000000">
            <w:pPr>
              <w:keepNext/>
              <w:keepLines/>
              <w:spacing w:after="0" w:line="240" w:lineRule="auto"/>
              <w:jc w:val="right"/>
            </w:pPr>
            <w:r>
              <w:rPr>
                <w:sz w:val="18"/>
              </w:rPr>
              <w:t>930.000,00</w:t>
            </w:r>
          </w:p>
        </w:tc>
        <w:tc>
          <w:tcPr>
            <w:tcW w:w="700" w:type="dxa"/>
            <w:tcMar>
              <w:top w:w="0" w:type="dxa"/>
              <w:bottom w:w="0" w:type="dxa"/>
            </w:tcMar>
            <w:vAlign w:val="center"/>
          </w:tcPr>
          <w:p w14:paraId="085EC7CF" w14:textId="77777777" w:rsidR="00AF6B6A" w:rsidRDefault="00000000">
            <w:pPr>
              <w:keepNext/>
              <w:keepLines/>
              <w:spacing w:after="0" w:line="240" w:lineRule="auto"/>
              <w:jc w:val="right"/>
            </w:pPr>
            <w:r>
              <w:rPr>
                <w:sz w:val="18"/>
              </w:rPr>
              <w:t>-</w:t>
            </w:r>
          </w:p>
        </w:tc>
      </w:tr>
    </w:tbl>
    <w:p w14:paraId="791013A6" w14:textId="77777777" w:rsidR="00AF6B6A" w:rsidRDefault="00AF6B6A">
      <w:pPr>
        <w:spacing w:after="0"/>
      </w:pPr>
    </w:p>
    <w:p w14:paraId="78CEC82E" w14:textId="77777777" w:rsidR="00AF6B6A" w:rsidRDefault="00000000">
      <w:pPr>
        <w:jc w:val="both"/>
      </w:pPr>
      <w:r>
        <w:t>U toku 2025. godine poduzeću TD Čistoća d.o.o. Varaždin odobrene su pozajmice u ukupnom iznosu od 930.000,00 EUR u svrhu održavanja likvidnosti tvrtke s rokom otplate do 30.09.2026. godine.</w:t>
      </w:r>
    </w:p>
    <w:p w14:paraId="2FE276BC" w14:textId="77777777" w:rsidR="00AF6B6A" w:rsidRDefault="00AF6B6A"/>
    <w:p w14:paraId="1DF1E50A" w14:textId="77777777" w:rsidR="00AF6B6A" w:rsidRDefault="00000000">
      <w:pPr>
        <w:keepNext/>
        <w:spacing w:line="240" w:lineRule="auto"/>
        <w:jc w:val="center"/>
      </w:pPr>
      <w:r>
        <w:rPr>
          <w:sz w:val="28"/>
        </w:rPr>
        <w:lastRenderedPageBreak/>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256ACC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EC62D5"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987A0A"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8ECAB8"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03BCB4"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6B004A"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F6C184" w14:textId="77777777" w:rsidR="00AF6B6A" w:rsidRDefault="00000000">
            <w:pPr>
              <w:keepNext/>
              <w:keepLines/>
              <w:spacing w:after="0" w:line="240" w:lineRule="auto"/>
              <w:jc w:val="center"/>
            </w:pPr>
            <w:r>
              <w:rPr>
                <w:b/>
                <w:sz w:val="18"/>
              </w:rPr>
              <w:t>Indeks (%)</w:t>
            </w:r>
          </w:p>
        </w:tc>
      </w:tr>
      <w:tr w:rsidR="00AF6B6A" w14:paraId="5727BC24" w14:textId="77777777">
        <w:tblPrEx>
          <w:tblCellMar>
            <w:top w:w="0" w:type="dxa"/>
            <w:bottom w:w="0" w:type="dxa"/>
          </w:tblCellMar>
        </w:tblPrEx>
        <w:trPr>
          <w:cantSplit/>
          <w:trHeight w:val="560"/>
        </w:trPr>
        <w:tc>
          <w:tcPr>
            <w:tcW w:w="700" w:type="dxa"/>
            <w:tcMar>
              <w:top w:w="0" w:type="dxa"/>
              <w:bottom w:w="0" w:type="dxa"/>
            </w:tcMar>
            <w:vAlign w:val="center"/>
          </w:tcPr>
          <w:p w14:paraId="0D2E8C03" w14:textId="77777777" w:rsidR="00AF6B6A" w:rsidRDefault="00000000">
            <w:pPr>
              <w:keepNext/>
              <w:keepLines/>
              <w:spacing w:after="0" w:line="240" w:lineRule="auto"/>
            </w:pPr>
            <w:r>
              <w:rPr>
                <w:sz w:val="18"/>
              </w:rPr>
              <w:t>54</w:t>
            </w:r>
          </w:p>
        </w:tc>
        <w:tc>
          <w:tcPr>
            <w:tcW w:w="3180" w:type="dxa"/>
            <w:tcMar>
              <w:top w:w="0" w:type="dxa"/>
              <w:bottom w:w="0" w:type="dxa"/>
            </w:tcMar>
            <w:vAlign w:val="center"/>
          </w:tcPr>
          <w:p w14:paraId="4DBE1778" w14:textId="77777777" w:rsidR="00AF6B6A" w:rsidRDefault="00000000">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14:paraId="10974245" w14:textId="77777777" w:rsidR="00AF6B6A" w:rsidRDefault="00000000">
            <w:pPr>
              <w:keepNext/>
              <w:keepLines/>
              <w:spacing w:after="0" w:line="240" w:lineRule="auto"/>
            </w:pPr>
            <w:r>
              <w:rPr>
                <w:sz w:val="18"/>
              </w:rPr>
              <w:t>54</w:t>
            </w:r>
          </w:p>
        </w:tc>
        <w:tc>
          <w:tcPr>
            <w:tcW w:w="1860" w:type="dxa"/>
            <w:tcMar>
              <w:top w:w="0" w:type="dxa"/>
              <w:bottom w:w="0" w:type="dxa"/>
            </w:tcMar>
            <w:vAlign w:val="center"/>
          </w:tcPr>
          <w:p w14:paraId="15D60538" w14:textId="77777777" w:rsidR="00AF6B6A" w:rsidRDefault="00000000">
            <w:pPr>
              <w:keepNext/>
              <w:keepLines/>
              <w:spacing w:after="0" w:line="240" w:lineRule="auto"/>
              <w:jc w:val="right"/>
            </w:pPr>
            <w:r>
              <w:rPr>
                <w:sz w:val="18"/>
              </w:rPr>
              <w:t>712.853,45</w:t>
            </w:r>
          </w:p>
        </w:tc>
        <w:tc>
          <w:tcPr>
            <w:tcW w:w="1860" w:type="dxa"/>
            <w:tcMar>
              <w:top w:w="0" w:type="dxa"/>
              <w:bottom w:w="0" w:type="dxa"/>
            </w:tcMar>
            <w:vAlign w:val="center"/>
          </w:tcPr>
          <w:p w14:paraId="4E92F901" w14:textId="77777777" w:rsidR="00AF6B6A" w:rsidRDefault="00000000">
            <w:pPr>
              <w:keepNext/>
              <w:keepLines/>
              <w:spacing w:after="0" w:line="240" w:lineRule="auto"/>
              <w:jc w:val="right"/>
            </w:pPr>
            <w:r>
              <w:rPr>
                <w:sz w:val="18"/>
              </w:rPr>
              <w:t>540.313,80</w:t>
            </w:r>
          </w:p>
        </w:tc>
        <w:tc>
          <w:tcPr>
            <w:tcW w:w="700" w:type="dxa"/>
            <w:tcMar>
              <w:top w:w="0" w:type="dxa"/>
              <w:bottom w:w="0" w:type="dxa"/>
            </w:tcMar>
            <w:vAlign w:val="center"/>
          </w:tcPr>
          <w:p w14:paraId="77677606" w14:textId="77777777" w:rsidR="00AF6B6A" w:rsidRDefault="00000000">
            <w:pPr>
              <w:keepNext/>
              <w:keepLines/>
              <w:spacing w:after="0" w:line="240" w:lineRule="auto"/>
              <w:jc w:val="right"/>
            </w:pPr>
            <w:r>
              <w:rPr>
                <w:sz w:val="18"/>
              </w:rPr>
              <w:t>75,8</w:t>
            </w:r>
          </w:p>
        </w:tc>
      </w:tr>
    </w:tbl>
    <w:p w14:paraId="2A698393" w14:textId="77777777" w:rsidR="00AF6B6A" w:rsidRDefault="00AF6B6A">
      <w:pPr>
        <w:spacing w:after="0"/>
      </w:pPr>
    </w:p>
    <w:p w14:paraId="2CE977B8" w14:textId="77777777" w:rsidR="00AF6B6A" w:rsidRDefault="00000000">
      <w:pPr>
        <w:jc w:val="both"/>
      </w:pPr>
      <w:r>
        <w:t>Izdaci za otplatu glavnice primljenih kredita i zajmova (54)  iznose 540.313,80 EUR, a radi se o otplati glavnice za kredite Grada Varaždina (za otplatu kredita za projekte energetske obnove II. i V. osnovne škole Varaždin i otplatu kredita za refinanciranje iz 2022. godine). U 2024. godini vraćena je glavnica zajma iz državnog proračuna za pad prihoda tijekom pandemije u iznosu 172.539,65 EUR, pa je zbog toga ostvarenje veće u 2024. godini. </w:t>
      </w:r>
    </w:p>
    <w:p w14:paraId="13A2951B" w14:textId="77777777" w:rsidR="00AF6B6A" w:rsidRDefault="00AF6B6A"/>
    <w:p w14:paraId="5F3ED651" w14:textId="77777777" w:rsidR="00AF6B6A" w:rsidRDefault="00000000">
      <w:pPr>
        <w:keepNext/>
        <w:spacing w:line="240" w:lineRule="auto"/>
        <w:jc w:val="center"/>
      </w:pPr>
      <w:r>
        <w:rPr>
          <w:b/>
          <w:sz w:val="28"/>
        </w:rPr>
        <w:t>Bilanca</w:t>
      </w:r>
    </w:p>
    <w:p w14:paraId="08B0D365" w14:textId="77777777" w:rsidR="00AF6B6A" w:rsidRDefault="00000000">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7E7535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AA87BC"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25FA0E"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F6E539"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C48909"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C9E321"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1B400F" w14:textId="77777777" w:rsidR="00AF6B6A" w:rsidRDefault="00000000">
            <w:pPr>
              <w:keepNext/>
              <w:keepLines/>
              <w:spacing w:after="0" w:line="240" w:lineRule="auto"/>
              <w:jc w:val="center"/>
            </w:pPr>
            <w:r>
              <w:rPr>
                <w:b/>
                <w:sz w:val="18"/>
              </w:rPr>
              <w:t>Indeks (%)</w:t>
            </w:r>
          </w:p>
        </w:tc>
      </w:tr>
      <w:tr w:rsidR="00AF6B6A" w14:paraId="51CC5C8C" w14:textId="77777777">
        <w:tblPrEx>
          <w:tblCellMar>
            <w:top w:w="0" w:type="dxa"/>
            <w:bottom w:w="0" w:type="dxa"/>
          </w:tblCellMar>
        </w:tblPrEx>
        <w:trPr>
          <w:cantSplit/>
          <w:trHeight w:val="560"/>
        </w:trPr>
        <w:tc>
          <w:tcPr>
            <w:tcW w:w="700" w:type="dxa"/>
            <w:tcMar>
              <w:top w:w="0" w:type="dxa"/>
              <w:bottom w:w="0" w:type="dxa"/>
            </w:tcMar>
            <w:vAlign w:val="center"/>
          </w:tcPr>
          <w:p w14:paraId="71913B5F" w14:textId="77777777" w:rsidR="00AF6B6A" w:rsidRDefault="00000000">
            <w:pPr>
              <w:keepNext/>
              <w:keepLines/>
              <w:spacing w:after="0" w:line="240" w:lineRule="auto"/>
            </w:pPr>
            <w:r>
              <w:rPr>
                <w:sz w:val="18"/>
              </w:rPr>
              <w:t>011</w:t>
            </w:r>
          </w:p>
        </w:tc>
        <w:tc>
          <w:tcPr>
            <w:tcW w:w="3180" w:type="dxa"/>
            <w:tcMar>
              <w:top w:w="0" w:type="dxa"/>
              <w:bottom w:w="0" w:type="dxa"/>
            </w:tcMar>
            <w:vAlign w:val="center"/>
          </w:tcPr>
          <w:p w14:paraId="6B9F923C" w14:textId="77777777" w:rsidR="00AF6B6A" w:rsidRDefault="00000000">
            <w:pPr>
              <w:keepNext/>
              <w:keepLines/>
              <w:spacing w:after="0" w:line="240" w:lineRule="auto"/>
            </w:pPr>
            <w:r>
              <w:rPr>
                <w:sz w:val="18"/>
              </w:rPr>
              <w:t>Materijalna imovina - prirodna bogatstva</w:t>
            </w:r>
          </w:p>
        </w:tc>
        <w:tc>
          <w:tcPr>
            <w:tcW w:w="700" w:type="dxa"/>
            <w:tcMar>
              <w:top w:w="0" w:type="dxa"/>
              <w:bottom w:w="0" w:type="dxa"/>
            </w:tcMar>
            <w:vAlign w:val="center"/>
          </w:tcPr>
          <w:p w14:paraId="63BA0932" w14:textId="77777777" w:rsidR="00AF6B6A" w:rsidRDefault="00000000">
            <w:pPr>
              <w:keepNext/>
              <w:keepLines/>
              <w:spacing w:after="0" w:line="240" w:lineRule="auto"/>
            </w:pPr>
            <w:r>
              <w:rPr>
                <w:sz w:val="18"/>
              </w:rPr>
              <w:t>011</w:t>
            </w:r>
          </w:p>
        </w:tc>
        <w:tc>
          <w:tcPr>
            <w:tcW w:w="1860" w:type="dxa"/>
            <w:tcMar>
              <w:top w:w="0" w:type="dxa"/>
              <w:bottom w:w="0" w:type="dxa"/>
            </w:tcMar>
            <w:vAlign w:val="center"/>
          </w:tcPr>
          <w:p w14:paraId="72FFB7AD" w14:textId="77777777" w:rsidR="00AF6B6A" w:rsidRDefault="00000000">
            <w:pPr>
              <w:keepNext/>
              <w:keepLines/>
              <w:spacing w:after="0" w:line="240" w:lineRule="auto"/>
              <w:jc w:val="right"/>
            </w:pPr>
            <w:r>
              <w:rPr>
                <w:sz w:val="18"/>
              </w:rPr>
              <w:t>58.157.233,01</w:t>
            </w:r>
          </w:p>
        </w:tc>
        <w:tc>
          <w:tcPr>
            <w:tcW w:w="1860" w:type="dxa"/>
            <w:tcMar>
              <w:top w:w="0" w:type="dxa"/>
              <w:bottom w:w="0" w:type="dxa"/>
            </w:tcMar>
            <w:vAlign w:val="center"/>
          </w:tcPr>
          <w:p w14:paraId="573652FE" w14:textId="77777777" w:rsidR="00AF6B6A" w:rsidRDefault="00000000">
            <w:pPr>
              <w:keepNext/>
              <w:keepLines/>
              <w:spacing w:after="0" w:line="240" w:lineRule="auto"/>
              <w:jc w:val="right"/>
            </w:pPr>
            <w:r>
              <w:rPr>
                <w:sz w:val="18"/>
              </w:rPr>
              <w:t>39.553.817,41</w:t>
            </w:r>
          </w:p>
        </w:tc>
        <w:tc>
          <w:tcPr>
            <w:tcW w:w="700" w:type="dxa"/>
            <w:tcMar>
              <w:top w:w="0" w:type="dxa"/>
              <w:bottom w:w="0" w:type="dxa"/>
            </w:tcMar>
            <w:vAlign w:val="center"/>
          </w:tcPr>
          <w:p w14:paraId="5A1AD0E2" w14:textId="77777777" w:rsidR="00AF6B6A" w:rsidRDefault="00000000">
            <w:pPr>
              <w:keepNext/>
              <w:keepLines/>
              <w:spacing w:after="0" w:line="240" w:lineRule="auto"/>
              <w:jc w:val="right"/>
            </w:pPr>
            <w:r>
              <w:rPr>
                <w:sz w:val="18"/>
              </w:rPr>
              <w:t>68,0</w:t>
            </w:r>
          </w:p>
        </w:tc>
      </w:tr>
    </w:tbl>
    <w:p w14:paraId="280736A9" w14:textId="77777777" w:rsidR="00AF6B6A" w:rsidRDefault="00AF6B6A">
      <w:pPr>
        <w:spacing w:after="0"/>
      </w:pPr>
    </w:p>
    <w:p w14:paraId="37C8B608" w14:textId="77777777" w:rsidR="00AF6B6A" w:rsidRDefault="00000000">
      <w:pPr>
        <w:jc w:val="both"/>
      </w:pPr>
      <w:r>
        <w:t>Materijalna imovina (011) manja je za 32% u odnosu na 2024. godinu.  Smanjenje se odnosi na usklađenje zemljišta u vlasništvu Grada Varaždina i iznosi 18.603.415,60 EUR. Državni ured za reviziju naložio je međusobno uskladiti podatke za građevinsko i poljoprivredno zemljište evidentirano u glavnoj knjizi i analitičkim evidencijama s podacima evidentiranim u bazi imovine Grada te ih evidentirati u poslovnim knjigama u skladu s odredbama Pravilnika o proračunskom računovodstvu i Računskom planu.</w:t>
      </w:r>
    </w:p>
    <w:p w14:paraId="29FC1312" w14:textId="77777777" w:rsidR="00AF6B6A" w:rsidRDefault="00000000">
      <w:pPr>
        <w:jc w:val="both"/>
      </w:pPr>
      <w:r>
        <w:t>Grad je geografskim informacijskim sustavom ustrojio Bazu imovine (BIG) koja, između ostalog, sadrži evidenciju poljoprivrednog zemljišta, neizgrađenog i izgrađenog građevinskog zemljišta, zelenih površina i parkova te šuma s nazivima, adresom, brojem katastarske čestice i površinom, ali bez financijskih iznosa. S obzirom na to da analitičke evidencije zemljišta ne sadrže podatke o adresi, brojevima katastarskih čestica i površinama, podaci navedeni u bazi imovine Grada nisu bili usporedivi s podacima iz analitičke evidencije i glavne knjige, odnosno s podacima iskazanim u financijskim izvještajima. Prema preporukama Državne revizije napravljeno je isknjiženje stare evidencije zemljišta iz glavne knjige i proknjižena je nova evidencija građevinskog i poljoprivrednog zemljišta tako da je usklađena glavna knjiga sa analitičkim evidencijama i BIG-om. Kod utvrđivanja vrijednosti zemljišta korišteni su podaci iz Izvješća o tržištu nekretnina za 2024. godinu za područje Grada Varaždina.</w:t>
      </w:r>
    </w:p>
    <w:p w14:paraId="46745BED" w14:textId="77777777" w:rsidR="00AF6B6A" w:rsidRDefault="00AF6B6A"/>
    <w:p w14:paraId="78F76A63" w14:textId="77777777" w:rsidR="00AF6B6A" w:rsidRDefault="00000000">
      <w:pPr>
        <w:keepNext/>
        <w:spacing w:line="240" w:lineRule="auto"/>
        <w:jc w:val="center"/>
      </w:pPr>
      <w:r>
        <w:rPr>
          <w:sz w:val="28"/>
        </w:rPr>
        <w:lastRenderedPageBreak/>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10C535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B94942"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3C3507"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CB3565"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CC3417"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F72C5F"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46E266F" w14:textId="77777777" w:rsidR="00AF6B6A" w:rsidRDefault="00000000">
            <w:pPr>
              <w:keepNext/>
              <w:keepLines/>
              <w:spacing w:after="0" w:line="240" w:lineRule="auto"/>
              <w:jc w:val="center"/>
            </w:pPr>
            <w:r>
              <w:rPr>
                <w:b/>
                <w:sz w:val="18"/>
              </w:rPr>
              <w:t>Indeks (%)</w:t>
            </w:r>
          </w:p>
        </w:tc>
      </w:tr>
      <w:tr w:rsidR="00AF6B6A" w14:paraId="30FE3502" w14:textId="77777777">
        <w:tblPrEx>
          <w:tblCellMar>
            <w:top w:w="0" w:type="dxa"/>
            <w:bottom w:w="0" w:type="dxa"/>
          </w:tblCellMar>
        </w:tblPrEx>
        <w:trPr>
          <w:cantSplit/>
          <w:trHeight w:val="560"/>
        </w:trPr>
        <w:tc>
          <w:tcPr>
            <w:tcW w:w="700" w:type="dxa"/>
            <w:tcMar>
              <w:top w:w="0" w:type="dxa"/>
              <w:bottom w:w="0" w:type="dxa"/>
            </w:tcMar>
            <w:vAlign w:val="center"/>
          </w:tcPr>
          <w:p w14:paraId="78AD221A" w14:textId="77777777" w:rsidR="00AF6B6A" w:rsidRDefault="00000000">
            <w:pPr>
              <w:keepNext/>
              <w:keepLines/>
              <w:spacing w:after="0" w:line="240" w:lineRule="auto"/>
            </w:pPr>
            <w:r>
              <w:rPr>
                <w:sz w:val="18"/>
              </w:rPr>
              <w:t>021 i 02921</w:t>
            </w:r>
          </w:p>
        </w:tc>
        <w:tc>
          <w:tcPr>
            <w:tcW w:w="3180" w:type="dxa"/>
            <w:tcMar>
              <w:top w:w="0" w:type="dxa"/>
              <w:bottom w:w="0" w:type="dxa"/>
            </w:tcMar>
            <w:vAlign w:val="center"/>
          </w:tcPr>
          <w:p w14:paraId="25024798" w14:textId="77777777" w:rsidR="00AF6B6A" w:rsidRDefault="00000000">
            <w:pPr>
              <w:keepNext/>
              <w:keepLines/>
              <w:spacing w:after="0" w:line="240" w:lineRule="auto"/>
            </w:pPr>
            <w:r>
              <w:rPr>
                <w:sz w:val="18"/>
              </w:rPr>
              <w:t>Građevinski objekti (šifre 0211 do 0214 - 02921)</w:t>
            </w:r>
          </w:p>
        </w:tc>
        <w:tc>
          <w:tcPr>
            <w:tcW w:w="700" w:type="dxa"/>
            <w:tcMar>
              <w:top w:w="0" w:type="dxa"/>
              <w:bottom w:w="0" w:type="dxa"/>
            </w:tcMar>
            <w:vAlign w:val="center"/>
          </w:tcPr>
          <w:p w14:paraId="63814757" w14:textId="77777777" w:rsidR="00AF6B6A" w:rsidRDefault="00000000">
            <w:pPr>
              <w:keepNext/>
              <w:keepLines/>
              <w:spacing w:after="0" w:line="240" w:lineRule="auto"/>
            </w:pPr>
            <w:r>
              <w:rPr>
                <w:sz w:val="18"/>
              </w:rPr>
              <w:t>021 i 02921</w:t>
            </w:r>
          </w:p>
        </w:tc>
        <w:tc>
          <w:tcPr>
            <w:tcW w:w="1860" w:type="dxa"/>
            <w:tcMar>
              <w:top w:w="0" w:type="dxa"/>
              <w:bottom w:w="0" w:type="dxa"/>
            </w:tcMar>
            <w:vAlign w:val="center"/>
          </w:tcPr>
          <w:p w14:paraId="719ACC7D" w14:textId="77777777" w:rsidR="00AF6B6A" w:rsidRDefault="00000000">
            <w:pPr>
              <w:keepNext/>
              <w:keepLines/>
              <w:spacing w:after="0" w:line="240" w:lineRule="auto"/>
              <w:jc w:val="right"/>
            </w:pPr>
            <w:r>
              <w:rPr>
                <w:sz w:val="18"/>
              </w:rPr>
              <w:t>63.692.770,75</w:t>
            </w:r>
          </w:p>
        </w:tc>
        <w:tc>
          <w:tcPr>
            <w:tcW w:w="1860" w:type="dxa"/>
            <w:tcMar>
              <w:top w:w="0" w:type="dxa"/>
              <w:bottom w:w="0" w:type="dxa"/>
            </w:tcMar>
            <w:vAlign w:val="center"/>
          </w:tcPr>
          <w:p w14:paraId="5AA3C93A" w14:textId="77777777" w:rsidR="00AF6B6A" w:rsidRDefault="00000000">
            <w:pPr>
              <w:keepNext/>
              <w:keepLines/>
              <w:spacing w:after="0" w:line="240" w:lineRule="auto"/>
              <w:jc w:val="right"/>
            </w:pPr>
            <w:r>
              <w:rPr>
                <w:sz w:val="18"/>
              </w:rPr>
              <w:t>80.445.361,17</w:t>
            </w:r>
          </w:p>
        </w:tc>
        <w:tc>
          <w:tcPr>
            <w:tcW w:w="700" w:type="dxa"/>
            <w:tcMar>
              <w:top w:w="0" w:type="dxa"/>
              <w:bottom w:w="0" w:type="dxa"/>
            </w:tcMar>
            <w:vAlign w:val="center"/>
          </w:tcPr>
          <w:p w14:paraId="586B8C9C" w14:textId="77777777" w:rsidR="00AF6B6A" w:rsidRDefault="00000000">
            <w:pPr>
              <w:keepNext/>
              <w:keepLines/>
              <w:spacing w:after="0" w:line="240" w:lineRule="auto"/>
              <w:jc w:val="right"/>
            </w:pPr>
            <w:r>
              <w:rPr>
                <w:sz w:val="18"/>
              </w:rPr>
              <w:t>126,3</w:t>
            </w:r>
          </w:p>
        </w:tc>
      </w:tr>
    </w:tbl>
    <w:p w14:paraId="23445CA1" w14:textId="77777777" w:rsidR="00AF6B6A" w:rsidRDefault="00AF6B6A">
      <w:pPr>
        <w:spacing w:after="0"/>
      </w:pPr>
    </w:p>
    <w:p w14:paraId="10A24A3B" w14:textId="77777777" w:rsidR="00AF6B6A" w:rsidRDefault="00000000">
      <w:pPr>
        <w:jc w:val="both"/>
      </w:pPr>
      <w:r>
        <w:t>Građevinski objekti (021) veći su za 26,3% u odnosu na 2024. godinu. Povećanje na poslovnim objektima u iznosu od 2.576.755,77 EUR odnosi se na izgradnju Dvorane za tenis u Zagrebačkoj ulici, energetsku obnovu I. i III. OŠ Varaždin, energetsku obnovu DV Biškupec, popravka krovišta na Gradskoj knjižnici, rekonstrukciju sanitarnih čvorova i ostale manje zahvate.</w:t>
      </w:r>
    </w:p>
    <w:p w14:paraId="3D0686AF" w14:textId="77777777" w:rsidR="00AF6B6A" w:rsidRDefault="00000000">
      <w:r>
        <w:t> </w:t>
      </w:r>
    </w:p>
    <w:p w14:paraId="3E69CBD4" w14:textId="77777777" w:rsidR="00AF6B6A" w:rsidRDefault="00AF6B6A"/>
    <w:p w14:paraId="7BBD5F33" w14:textId="77777777" w:rsidR="00AF6B6A" w:rsidRDefault="00000000">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38099E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FA29E7"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265EDB"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11CC88"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E03021"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A36110"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CFA56B" w14:textId="77777777" w:rsidR="00AF6B6A" w:rsidRDefault="00000000">
            <w:pPr>
              <w:keepNext/>
              <w:keepLines/>
              <w:spacing w:after="0" w:line="240" w:lineRule="auto"/>
              <w:jc w:val="center"/>
            </w:pPr>
            <w:r>
              <w:rPr>
                <w:b/>
                <w:sz w:val="18"/>
              </w:rPr>
              <w:t>Indeks (%)</w:t>
            </w:r>
          </w:p>
        </w:tc>
      </w:tr>
      <w:tr w:rsidR="00AF6B6A" w14:paraId="0C3C1066" w14:textId="77777777">
        <w:tblPrEx>
          <w:tblCellMar>
            <w:top w:w="0" w:type="dxa"/>
            <w:bottom w:w="0" w:type="dxa"/>
          </w:tblCellMar>
        </w:tblPrEx>
        <w:trPr>
          <w:cantSplit/>
          <w:trHeight w:val="560"/>
        </w:trPr>
        <w:tc>
          <w:tcPr>
            <w:tcW w:w="700" w:type="dxa"/>
            <w:tcMar>
              <w:top w:w="0" w:type="dxa"/>
              <w:bottom w:w="0" w:type="dxa"/>
            </w:tcMar>
            <w:vAlign w:val="center"/>
          </w:tcPr>
          <w:p w14:paraId="64019B62" w14:textId="77777777" w:rsidR="00AF6B6A" w:rsidRDefault="00000000">
            <w:pPr>
              <w:keepNext/>
              <w:keepLines/>
              <w:spacing w:after="0" w:line="240" w:lineRule="auto"/>
            </w:pPr>
            <w:r>
              <w:rPr>
                <w:sz w:val="18"/>
              </w:rPr>
              <w:t>0214</w:t>
            </w:r>
          </w:p>
        </w:tc>
        <w:tc>
          <w:tcPr>
            <w:tcW w:w="3180" w:type="dxa"/>
            <w:tcMar>
              <w:top w:w="0" w:type="dxa"/>
              <w:bottom w:w="0" w:type="dxa"/>
            </w:tcMar>
            <w:vAlign w:val="center"/>
          </w:tcPr>
          <w:p w14:paraId="2CB2FB0F" w14:textId="77777777" w:rsidR="00AF6B6A"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69563CF9" w14:textId="77777777" w:rsidR="00AF6B6A" w:rsidRDefault="00000000">
            <w:pPr>
              <w:keepNext/>
              <w:keepLines/>
              <w:spacing w:after="0" w:line="240" w:lineRule="auto"/>
            </w:pPr>
            <w:r>
              <w:rPr>
                <w:sz w:val="18"/>
              </w:rPr>
              <w:t>0214</w:t>
            </w:r>
          </w:p>
        </w:tc>
        <w:tc>
          <w:tcPr>
            <w:tcW w:w="1860" w:type="dxa"/>
            <w:tcMar>
              <w:top w:w="0" w:type="dxa"/>
              <w:bottom w:w="0" w:type="dxa"/>
            </w:tcMar>
            <w:vAlign w:val="center"/>
          </w:tcPr>
          <w:p w14:paraId="2C6E0416" w14:textId="77777777" w:rsidR="00AF6B6A" w:rsidRDefault="00000000">
            <w:pPr>
              <w:keepNext/>
              <w:keepLines/>
              <w:spacing w:after="0" w:line="240" w:lineRule="auto"/>
              <w:jc w:val="right"/>
            </w:pPr>
            <w:r>
              <w:rPr>
                <w:sz w:val="18"/>
              </w:rPr>
              <w:t>25.305.650,49</w:t>
            </w:r>
          </w:p>
        </w:tc>
        <w:tc>
          <w:tcPr>
            <w:tcW w:w="1860" w:type="dxa"/>
            <w:tcMar>
              <w:top w:w="0" w:type="dxa"/>
              <w:bottom w:w="0" w:type="dxa"/>
            </w:tcMar>
            <w:vAlign w:val="center"/>
          </w:tcPr>
          <w:p w14:paraId="139F7B7D" w14:textId="77777777" w:rsidR="00AF6B6A" w:rsidRDefault="00000000">
            <w:pPr>
              <w:keepNext/>
              <w:keepLines/>
              <w:spacing w:after="0" w:line="240" w:lineRule="auto"/>
              <w:jc w:val="right"/>
            </w:pPr>
            <w:r>
              <w:rPr>
                <w:sz w:val="18"/>
              </w:rPr>
              <w:t>45.417.428,27</w:t>
            </w:r>
          </w:p>
        </w:tc>
        <w:tc>
          <w:tcPr>
            <w:tcW w:w="700" w:type="dxa"/>
            <w:tcMar>
              <w:top w:w="0" w:type="dxa"/>
              <w:bottom w:w="0" w:type="dxa"/>
            </w:tcMar>
            <w:vAlign w:val="center"/>
          </w:tcPr>
          <w:p w14:paraId="6851266D" w14:textId="77777777" w:rsidR="00AF6B6A" w:rsidRDefault="00000000">
            <w:pPr>
              <w:keepNext/>
              <w:keepLines/>
              <w:spacing w:after="0" w:line="240" w:lineRule="auto"/>
              <w:jc w:val="right"/>
            </w:pPr>
            <w:r>
              <w:rPr>
                <w:sz w:val="18"/>
              </w:rPr>
              <w:t>179,5</w:t>
            </w:r>
          </w:p>
        </w:tc>
      </w:tr>
    </w:tbl>
    <w:p w14:paraId="774DC2A3" w14:textId="77777777" w:rsidR="00AF6B6A" w:rsidRDefault="00AF6B6A">
      <w:pPr>
        <w:spacing w:after="0"/>
      </w:pPr>
    </w:p>
    <w:p w14:paraId="7D30E025" w14:textId="77777777" w:rsidR="00AF6B6A" w:rsidRDefault="00000000">
      <w:pPr>
        <w:jc w:val="both"/>
      </w:pPr>
      <w:r>
        <w:t>Ostali građevinski objekti (0214) povećani su za 79,5% ili 20.111.777,78 EUR. Do povećanja je došlo zbog donosa imovine u pripremi koja se odnosi na Sortirnicu u iznosu od 5.211.084,86 EUR i donosa imovine u pripremi za Reciklažno dvorište u iznosu od 630.605,00 EUR. Evidentiran je iznos od 10.195.272,38 EUR koji se odnosi na odvoz i oporabu otpada u Brezju, iznos od 3.436.869,29 EUR za učinkovitu javnu rasvjetu i ostale projekte.</w:t>
      </w:r>
    </w:p>
    <w:p w14:paraId="5713F23C" w14:textId="77777777" w:rsidR="00AF6B6A" w:rsidRDefault="00000000">
      <w:r>
        <w:t> </w:t>
      </w:r>
    </w:p>
    <w:p w14:paraId="3340DF4F" w14:textId="77777777" w:rsidR="00AF6B6A" w:rsidRDefault="00AF6B6A"/>
    <w:p w14:paraId="5AC3A8AC" w14:textId="77777777" w:rsidR="00AF6B6A" w:rsidRDefault="00000000">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B848B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2AB98F"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1D6C14"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C81FE6"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7C6BDB"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C429E54"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C0DA54" w14:textId="77777777" w:rsidR="00AF6B6A" w:rsidRDefault="00000000">
            <w:pPr>
              <w:keepNext/>
              <w:keepLines/>
              <w:spacing w:after="0" w:line="240" w:lineRule="auto"/>
              <w:jc w:val="center"/>
            </w:pPr>
            <w:r>
              <w:rPr>
                <w:b/>
                <w:sz w:val="18"/>
              </w:rPr>
              <w:t>Indeks (%)</w:t>
            </w:r>
          </w:p>
        </w:tc>
      </w:tr>
      <w:tr w:rsidR="00AF6B6A" w14:paraId="0DFA1697" w14:textId="77777777">
        <w:tblPrEx>
          <w:tblCellMar>
            <w:top w:w="0" w:type="dxa"/>
            <w:bottom w:w="0" w:type="dxa"/>
          </w:tblCellMar>
        </w:tblPrEx>
        <w:trPr>
          <w:cantSplit/>
          <w:trHeight w:val="560"/>
        </w:trPr>
        <w:tc>
          <w:tcPr>
            <w:tcW w:w="700" w:type="dxa"/>
            <w:tcMar>
              <w:top w:w="0" w:type="dxa"/>
              <w:bottom w:w="0" w:type="dxa"/>
            </w:tcMar>
            <w:vAlign w:val="center"/>
          </w:tcPr>
          <w:p w14:paraId="76F6F586" w14:textId="77777777" w:rsidR="00AF6B6A" w:rsidRDefault="00000000">
            <w:pPr>
              <w:keepNext/>
              <w:keepLines/>
              <w:spacing w:after="0" w:line="240" w:lineRule="auto"/>
            </w:pPr>
            <w:r>
              <w:rPr>
                <w:sz w:val="18"/>
              </w:rPr>
              <w:t>0227</w:t>
            </w:r>
          </w:p>
        </w:tc>
        <w:tc>
          <w:tcPr>
            <w:tcW w:w="3180" w:type="dxa"/>
            <w:tcMar>
              <w:top w:w="0" w:type="dxa"/>
              <w:bottom w:w="0" w:type="dxa"/>
            </w:tcMar>
            <w:vAlign w:val="center"/>
          </w:tcPr>
          <w:p w14:paraId="7B361E1F" w14:textId="77777777" w:rsidR="00AF6B6A"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662E829F" w14:textId="77777777" w:rsidR="00AF6B6A" w:rsidRDefault="00000000">
            <w:pPr>
              <w:keepNext/>
              <w:keepLines/>
              <w:spacing w:after="0" w:line="240" w:lineRule="auto"/>
            </w:pPr>
            <w:r>
              <w:rPr>
                <w:sz w:val="18"/>
              </w:rPr>
              <w:t>0227</w:t>
            </w:r>
          </w:p>
        </w:tc>
        <w:tc>
          <w:tcPr>
            <w:tcW w:w="1860" w:type="dxa"/>
            <w:tcMar>
              <w:top w:w="0" w:type="dxa"/>
              <w:bottom w:w="0" w:type="dxa"/>
            </w:tcMar>
            <w:vAlign w:val="center"/>
          </w:tcPr>
          <w:p w14:paraId="2155F53D" w14:textId="77777777" w:rsidR="00AF6B6A" w:rsidRDefault="00000000">
            <w:pPr>
              <w:keepNext/>
              <w:keepLines/>
              <w:spacing w:after="0" w:line="240" w:lineRule="auto"/>
              <w:jc w:val="right"/>
            </w:pPr>
            <w:r>
              <w:rPr>
                <w:sz w:val="18"/>
              </w:rPr>
              <w:t>2.367.762,22</w:t>
            </w:r>
          </w:p>
        </w:tc>
        <w:tc>
          <w:tcPr>
            <w:tcW w:w="1860" w:type="dxa"/>
            <w:tcMar>
              <w:top w:w="0" w:type="dxa"/>
              <w:bottom w:w="0" w:type="dxa"/>
            </w:tcMar>
            <w:vAlign w:val="center"/>
          </w:tcPr>
          <w:p w14:paraId="79ADF914" w14:textId="77777777" w:rsidR="00AF6B6A" w:rsidRDefault="00000000">
            <w:pPr>
              <w:keepNext/>
              <w:keepLines/>
              <w:spacing w:after="0" w:line="240" w:lineRule="auto"/>
              <w:jc w:val="right"/>
            </w:pPr>
            <w:r>
              <w:rPr>
                <w:sz w:val="18"/>
              </w:rPr>
              <w:t>3.311.940,58</w:t>
            </w:r>
          </w:p>
        </w:tc>
        <w:tc>
          <w:tcPr>
            <w:tcW w:w="700" w:type="dxa"/>
            <w:tcMar>
              <w:top w:w="0" w:type="dxa"/>
              <w:bottom w:w="0" w:type="dxa"/>
            </w:tcMar>
            <w:vAlign w:val="center"/>
          </w:tcPr>
          <w:p w14:paraId="22395EE4" w14:textId="77777777" w:rsidR="00AF6B6A" w:rsidRDefault="00000000">
            <w:pPr>
              <w:keepNext/>
              <w:keepLines/>
              <w:spacing w:after="0" w:line="240" w:lineRule="auto"/>
              <w:jc w:val="right"/>
            </w:pPr>
            <w:r>
              <w:rPr>
                <w:sz w:val="18"/>
              </w:rPr>
              <w:t>139,9</w:t>
            </w:r>
          </w:p>
        </w:tc>
      </w:tr>
    </w:tbl>
    <w:p w14:paraId="4E415674" w14:textId="77777777" w:rsidR="00AF6B6A" w:rsidRDefault="00AF6B6A">
      <w:pPr>
        <w:spacing w:after="0"/>
      </w:pPr>
    </w:p>
    <w:p w14:paraId="3B9E7170" w14:textId="77777777" w:rsidR="00AF6B6A" w:rsidRDefault="00000000">
      <w:pPr>
        <w:jc w:val="both"/>
      </w:pPr>
      <w:r>
        <w:t>Uređaji, strojevi i oprema za ostale namjene (0227) povećani su za 39.9% ili 944.178.36 EUR. Povećanje se najvećim dijelom odnosi na izgradnju i opremanje dječjih igrališta i sustava za nadzor, kao i na opremu koje je sa opreme u pripremi prenesena na opremu u upotrebi, a odnosi se na opremu u Reciklažnom dvorištu.</w:t>
      </w:r>
    </w:p>
    <w:p w14:paraId="4872B299" w14:textId="77777777" w:rsidR="00AF6B6A" w:rsidRDefault="00AF6B6A"/>
    <w:p w14:paraId="733A7A69" w14:textId="77777777" w:rsidR="00AF6B6A" w:rsidRDefault="00000000">
      <w:pPr>
        <w:keepNext/>
        <w:spacing w:line="240" w:lineRule="auto"/>
        <w:jc w:val="center"/>
      </w:pPr>
      <w:r>
        <w:rPr>
          <w:sz w:val="28"/>
        </w:rPr>
        <w:lastRenderedPageBreak/>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18E163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76FE64"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09F9B3"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BD2AC8"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1F23EF"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B2432A"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4C79D11" w14:textId="77777777" w:rsidR="00AF6B6A" w:rsidRDefault="00000000">
            <w:pPr>
              <w:keepNext/>
              <w:keepLines/>
              <w:spacing w:after="0" w:line="240" w:lineRule="auto"/>
              <w:jc w:val="center"/>
            </w:pPr>
            <w:r>
              <w:rPr>
                <w:b/>
                <w:sz w:val="18"/>
              </w:rPr>
              <w:t>Indeks (%)</w:t>
            </w:r>
          </w:p>
        </w:tc>
      </w:tr>
      <w:tr w:rsidR="00AF6B6A" w14:paraId="36A08C1E" w14:textId="77777777">
        <w:tblPrEx>
          <w:tblCellMar>
            <w:top w:w="0" w:type="dxa"/>
            <w:bottom w:w="0" w:type="dxa"/>
          </w:tblCellMar>
        </w:tblPrEx>
        <w:trPr>
          <w:cantSplit/>
          <w:trHeight w:val="560"/>
        </w:trPr>
        <w:tc>
          <w:tcPr>
            <w:tcW w:w="700" w:type="dxa"/>
            <w:tcMar>
              <w:top w:w="0" w:type="dxa"/>
              <w:bottom w:w="0" w:type="dxa"/>
            </w:tcMar>
            <w:vAlign w:val="center"/>
          </w:tcPr>
          <w:p w14:paraId="19C35145" w14:textId="77777777" w:rsidR="00AF6B6A" w:rsidRDefault="00000000">
            <w:pPr>
              <w:keepNext/>
              <w:keepLines/>
              <w:spacing w:after="0" w:line="240" w:lineRule="auto"/>
            </w:pPr>
            <w:r>
              <w:rPr>
                <w:sz w:val="18"/>
              </w:rPr>
              <w:t>0242</w:t>
            </w:r>
          </w:p>
        </w:tc>
        <w:tc>
          <w:tcPr>
            <w:tcW w:w="3180" w:type="dxa"/>
            <w:tcMar>
              <w:top w:w="0" w:type="dxa"/>
              <w:bottom w:w="0" w:type="dxa"/>
            </w:tcMar>
            <w:vAlign w:val="center"/>
          </w:tcPr>
          <w:p w14:paraId="75117332" w14:textId="77777777" w:rsidR="00AF6B6A" w:rsidRDefault="00000000">
            <w:pPr>
              <w:keepNext/>
              <w:keepLines/>
              <w:spacing w:after="0" w:line="240" w:lineRule="auto"/>
            </w:pPr>
            <w:r>
              <w:rPr>
                <w:sz w:val="18"/>
              </w:rPr>
              <w:t>Umjetnička djela (izložena u galerijama, muzejima i slično)</w:t>
            </w:r>
          </w:p>
        </w:tc>
        <w:tc>
          <w:tcPr>
            <w:tcW w:w="700" w:type="dxa"/>
            <w:tcMar>
              <w:top w:w="0" w:type="dxa"/>
              <w:bottom w:w="0" w:type="dxa"/>
            </w:tcMar>
            <w:vAlign w:val="center"/>
          </w:tcPr>
          <w:p w14:paraId="397D28AB" w14:textId="77777777" w:rsidR="00AF6B6A" w:rsidRDefault="00000000">
            <w:pPr>
              <w:keepNext/>
              <w:keepLines/>
              <w:spacing w:after="0" w:line="240" w:lineRule="auto"/>
            </w:pPr>
            <w:r>
              <w:rPr>
                <w:sz w:val="18"/>
              </w:rPr>
              <w:t>0242</w:t>
            </w:r>
          </w:p>
        </w:tc>
        <w:tc>
          <w:tcPr>
            <w:tcW w:w="1860" w:type="dxa"/>
            <w:tcMar>
              <w:top w:w="0" w:type="dxa"/>
              <w:bottom w:w="0" w:type="dxa"/>
            </w:tcMar>
            <w:vAlign w:val="center"/>
          </w:tcPr>
          <w:p w14:paraId="118E0A5B" w14:textId="77777777" w:rsidR="00AF6B6A" w:rsidRDefault="00000000">
            <w:pPr>
              <w:keepNext/>
              <w:keepLines/>
              <w:spacing w:after="0" w:line="240" w:lineRule="auto"/>
              <w:jc w:val="right"/>
            </w:pPr>
            <w:r>
              <w:rPr>
                <w:sz w:val="18"/>
              </w:rPr>
              <w:t>102.366,84</w:t>
            </w:r>
          </w:p>
        </w:tc>
        <w:tc>
          <w:tcPr>
            <w:tcW w:w="1860" w:type="dxa"/>
            <w:tcMar>
              <w:top w:w="0" w:type="dxa"/>
              <w:bottom w:w="0" w:type="dxa"/>
            </w:tcMar>
            <w:vAlign w:val="center"/>
          </w:tcPr>
          <w:p w14:paraId="112FFD8F" w14:textId="77777777" w:rsidR="00AF6B6A" w:rsidRDefault="00000000">
            <w:pPr>
              <w:keepNext/>
              <w:keepLines/>
              <w:spacing w:after="0" w:line="240" w:lineRule="auto"/>
              <w:jc w:val="right"/>
            </w:pPr>
            <w:r>
              <w:rPr>
                <w:sz w:val="18"/>
              </w:rPr>
              <w:t>186.015,47</w:t>
            </w:r>
          </w:p>
        </w:tc>
        <w:tc>
          <w:tcPr>
            <w:tcW w:w="700" w:type="dxa"/>
            <w:tcMar>
              <w:top w:w="0" w:type="dxa"/>
              <w:bottom w:w="0" w:type="dxa"/>
            </w:tcMar>
            <w:vAlign w:val="center"/>
          </w:tcPr>
          <w:p w14:paraId="791F08C6" w14:textId="77777777" w:rsidR="00AF6B6A" w:rsidRDefault="00000000">
            <w:pPr>
              <w:keepNext/>
              <w:keepLines/>
              <w:spacing w:after="0" w:line="240" w:lineRule="auto"/>
              <w:jc w:val="right"/>
            </w:pPr>
            <w:r>
              <w:rPr>
                <w:sz w:val="18"/>
              </w:rPr>
              <w:t>181,7</w:t>
            </w:r>
          </w:p>
        </w:tc>
      </w:tr>
    </w:tbl>
    <w:p w14:paraId="482C1BDC" w14:textId="77777777" w:rsidR="00AF6B6A" w:rsidRDefault="00AF6B6A">
      <w:pPr>
        <w:spacing w:after="0"/>
      </w:pPr>
    </w:p>
    <w:p w14:paraId="5F35B344" w14:textId="77777777" w:rsidR="00AF6B6A" w:rsidRDefault="00000000">
      <w:pPr>
        <w:jc w:val="both"/>
      </w:pPr>
      <w:r>
        <w:t>Umjetnička djela(izložena u galerijama, muzejima i slično) (0242) povećana su za 81,7%. Uvidom u imovinu utvrđeno je da određena umjetnička djela (slike) koje su izložene u Gradskom muzeju Varaždin nisu evidentirana u glavnoj knjizi i analitičkoj evidenciji. U 2025. godini navedena su unešena u imovinu grada i pomoćne knjige u iznosu od 61.600,00 EUR.</w:t>
      </w:r>
    </w:p>
    <w:p w14:paraId="2A2B2A92" w14:textId="77777777" w:rsidR="00AF6B6A" w:rsidRDefault="00AF6B6A"/>
    <w:p w14:paraId="550CE7F9" w14:textId="77777777" w:rsidR="00AF6B6A" w:rsidRDefault="00000000">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EB694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2C197D"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DACF0B"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458B94"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08512F"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1F3631"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6EBF88" w14:textId="77777777" w:rsidR="00AF6B6A" w:rsidRDefault="00000000">
            <w:pPr>
              <w:keepNext/>
              <w:keepLines/>
              <w:spacing w:after="0" w:line="240" w:lineRule="auto"/>
              <w:jc w:val="center"/>
            </w:pPr>
            <w:r>
              <w:rPr>
                <w:b/>
                <w:sz w:val="18"/>
              </w:rPr>
              <w:t>Indeks (%)</w:t>
            </w:r>
          </w:p>
        </w:tc>
      </w:tr>
      <w:tr w:rsidR="00AF6B6A" w14:paraId="2E3325EC" w14:textId="77777777">
        <w:tblPrEx>
          <w:tblCellMar>
            <w:top w:w="0" w:type="dxa"/>
            <w:bottom w:w="0" w:type="dxa"/>
          </w:tblCellMar>
        </w:tblPrEx>
        <w:trPr>
          <w:cantSplit/>
          <w:trHeight w:val="560"/>
        </w:trPr>
        <w:tc>
          <w:tcPr>
            <w:tcW w:w="700" w:type="dxa"/>
            <w:tcMar>
              <w:top w:w="0" w:type="dxa"/>
              <w:bottom w:w="0" w:type="dxa"/>
            </w:tcMar>
            <w:vAlign w:val="center"/>
          </w:tcPr>
          <w:p w14:paraId="0D5ABA26" w14:textId="77777777" w:rsidR="00AF6B6A" w:rsidRDefault="00000000">
            <w:pPr>
              <w:keepNext/>
              <w:keepLines/>
              <w:spacing w:after="0" w:line="240" w:lineRule="auto"/>
            </w:pPr>
            <w:r>
              <w:rPr>
                <w:sz w:val="18"/>
              </w:rPr>
              <w:t>052</w:t>
            </w:r>
          </w:p>
        </w:tc>
        <w:tc>
          <w:tcPr>
            <w:tcW w:w="3180" w:type="dxa"/>
            <w:tcMar>
              <w:top w:w="0" w:type="dxa"/>
              <w:bottom w:w="0" w:type="dxa"/>
            </w:tcMar>
            <w:vAlign w:val="center"/>
          </w:tcPr>
          <w:p w14:paraId="6CA40E35" w14:textId="77777777" w:rsidR="00AF6B6A" w:rsidRDefault="00000000">
            <w:pPr>
              <w:keepNext/>
              <w:keepLines/>
              <w:spacing w:after="0" w:line="240" w:lineRule="auto"/>
            </w:pPr>
            <w:r>
              <w:rPr>
                <w:sz w:val="18"/>
              </w:rPr>
              <w:t>Postrojenja i oprema u pripremi</w:t>
            </w:r>
          </w:p>
        </w:tc>
        <w:tc>
          <w:tcPr>
            <w:tcW w:w="700" w:type="dxa"/>
            <w:tcMar>
              <w:top w:w="0" w:type="dxa"/>
              <w:bottom w:w="0" w:type="dxa"/>
            </w:tcMar>
            <w:vAlign w:val="center"/>
          </w:tcPr>
          <w:p w14:paraId="6CC1EF41" w14:textId="77777777" w:rsidR="00AF6B6A" w:rsidRDefault="00000000">
            <w:pPr>
              <w:keepNext/>
              <w:keepLines/>
              <w:spacing w:after="0" w:line="240" w:lineRule="auto"/>
            </w:pPr>
            <w:r>
              <w:rPr>
                <w:sz w:val="18"/>
              </w:rPr>
              <w:t>052</w:t>
            </w:r>
          </w:p>
        </w:tc>
        <w:tc>
          <w:tcPr>
            <w:tcW w:w="1860" w:type="dxa"/>
            <w:tcMar>
              <w:top w:w="0" w:type="dxa"/>
              <w:bottom w:w="0" w:type="dxa"/>
            </w:tcMar>
            <w:vAlign w:val="center"/>
          </w:tcPr>
          <w:p w14:paraId="67046EF2" w14:textId="77777777" w:rsidR="00AF6B6A" w:rsidRDefault="00000000">
            <w:pPr>
              <w:keepNext/>
              <w:keepLines/>
              <w:spacing w:after="0" w:line="240" w:lineRule="auto"/>
              <w:jc w:val="right"/>
            </w:pPr>
            <w:r>
              <w:rPr>
                <w:sz w:val="18"/>
              </w:rPr>
              <w:t>1.737.447,42</w:t>
            </w:r>
          </w:p>
        </w:tc>
        <w:tc>
          <w:tcPr>
            <w:tcW w:w="1860" w:type="dxa"/>
            <w:tcMar>
              <w:top w:w="0" w:type="dxa"/>
              <w:bottom w:w="0" w:type="dxa"/>
            </w:tcMar>
            <w:vAlign w:val="center"/>
          </w:tcPr>
          <w:p w14:paraId="30212E21" w14:textId="77777777" w:rsidR="00AF6B6A" w:rsidRDefault="00000000">
            <w:pPr>
              <w:keepNext/>
              <w:keepLines/>
              <w:spacing w:after="0" w:line="240" w:lineRule="auto"/>
              <w:jc w:val="right"/>
            </w:pPr>
            <w:r>
              <w:rPr>
                <w:sz w:val="18"/>
              </w:rPr>
              <w:t>1.372.113,17</w:t>
            </w:r>
          </w:p>
        </w:tc>
        <w:tc>
          <w:tcPr>
            <w:tcW w:w="700" w:type="dxa"/>
            <w:tcMar>
              <w:top w:w="0" w:type="dxa"/>
              <w:bottom w:w="0" w:type="dxa"/>
            </w:tcMar>
            <w:vAlign w:val="center"/>
          </w:tcPr>
          <w:p w14:paraId="03F37744" w14:textId="77777777" w:rsidR="00AF6B6A" w:rsidRDefault="00000000">
            <w:pPr>
              <w:keepNext/>
              <w:keepLines/>
              <w:spacing w:after="0" w:line="240" w:lineRule="auto"/>
              <w:jc w:val="right"/>
            </w:pPr>
            <w:r>
              <w:rPr>
                <w:sz w:val="18"/>
              </w:rPr>
              <w:t>79,0</w:t>
            </w:r>
          </w:p>
        </w:tc>
      </w:tr>
    </w:tbl>
    <w:p w14:paraId="7B42ADBD" w14:textId="77777777" w:rsidR="00AF6B6A" w:rsidRDefault="00AF6B6A">
      <w:pPr>
        <w:spacing w:after="0"/>
      </w:pPr>
    </w:p>
    <w:p w14:paraId="48103827" w14:textId="77777777" w:rsidR="00AF6B6A" w:rsidRDefault="00000000">
      <w:pPr>
        <w:jc w:val="both"/>
      </w:pPr>
      <w:r>
        <w:t>Postrojenja i oprema u pripremi (052) smanjeni su za 21% zbog već spomenutog prijenosa sa opreme u pripremi na opremu u upotrebi, a koje se odnosi na opremu u Reciklažnom dvorištu.</w:t>
      </w:r>
    </w:p>
    <w:p w14:paraId="3146F9D3" w14:textId="77777777" w:rsidR="00AF6B6A" w:rsidRDefault="00AF6B6A"/>
    <w:p w14:paraId="0AEADC56" w14:textId="77777777" w:rsidR="00AF6B6A" w:rsidRDefault="00000000">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679DB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138A0F"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A451D7"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E490A1"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8D3D10"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56C8115"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EA0B62E" w14:textId="77777777" w:rsidR="00AF6B6A" w:rsidRDefault="00000000">
            <w:pPr>
              <w:keepNext/>
              <w:keepLines/>
              <w:spacing w:after="0" w:line="240" w:lineRule="auto"/>
              <w:jc w:val="center"/>
            </w:pPr>
            <w:r>
              <w:rPr>
                <w:b/>
                <w:sz w:val="18"/>
              </w:rPr>
              <w:t>Indeks (%)</w:t>
            </w:r>
          </w:p>
        </w:tc>
      </w:tr>
      <w:tr w:rsidR="00AF6B6A" w14:paraId="2783F934" w14:textId="77777777">
        <w:tblPrEx>
          <w:tblCellMar>
            <w:top w:w="0" w:type="dxa"/>
            <w:bottom w:w="0" w:type="dxa"/>
          </w:tblCellMar>
        </w:tblPrEx>
        <w:trPr>
          <w:cantSplit/>
          <w:trHeight w:val="560"/>
        </w:trPr>
        <w:tc>
          <w:tcPr>
            <w:tcW w:w="700" w:type="dxa"/>
            <w:tcMar>
              <w:top w:w="0" w:type="dxa"/>
              <w:bottom w:w="0" w:type="dxa"/>
            </w:tcMar>
            <w:vAlign w:val="center"/>
          </w:tcPr>
          <w:p w14:paraId="0BE0E0F8" w14:textId="77777777" w:rsidR="00AF6B6A" w:rsidRDefault="00000000">
            <w:pPr>
              <w:keepNext/>
              <w:keepLines/>
              <w:spacing w:after="0" w:line="240" w:lineRule="auto"/>
            </w:pPr>
            <w:r>
              <w:rPr>
                <w:sz w:val="18"/>
              </w:rPr>
              <w:t>11</w:t>
            </w:r>
          </w:p>
        </w:tc>
        <w:tc>
          <w:tcPr>
            <w:tcW w:w="3180" w:type="dxa"/>
            <w:tcMar>
              <w:top w:w="0" w:type="dxa"/>
              <w:bottom w:w="0" w:type="dxa"/>
            </w:tcMar>
            <w:vAlign w:val="center"/>
          </w:tcPr>
          <w:p w14:paraId="4D233254" w14:textId="77777777" w:rsidR="00AF6B6A"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5A4EAF1C" w14:textId="77777777" w:rsidR="00AF6B6A" w:rsidRDefault="00000000">
            <w:pPr>
              <w:keepNext/>
              <w:keepLines/>
              <w:spacing w:after="0" w:line="240" w:lineRule="auto"/>
            </w:pPr>
            <w:r>
              <w:rPr>
                <w:sz w:val="18"/>
              </w:rPr>
              <w:t>11</w:t>
            </w:r>
          </w:p>
        </w:tc>
        <w:tc>
          <w:tcPr>
            <w:tcW w:w="1860" w:type="dxa"/>
            <w:tcMar>
              <w:top w:w="0" w:type="dxa"/>
              <w:bottom w:w="0" w:type="dxa"/>
            </w:tcMar>
            <w:vAlign w:val="center"/>
          </w:tcPr>
          <w:p w14:paraId="17A0A2E9" w14:textId="77777777" w:rsidR="00AF6B6A" w:rsidRDefault="00000000">
            <w:pPr>
              <w:keepNext/>
              <w:keepLines/>
              <w:spacing w:after="0" w:line="240" w:lineRule="auto"/>
              <w:jc w:val="right"/>
            </w:pPr>
            <w:r>
              <w:rPr>
                <w:sz w:val="18"/>
              </w:rPr>
              <w:t>10.608.165,15</w:t>
            </w:r>
          </w:p>
        </w:tc>
        <w:tc>
          <w:tcPr>
            <w:tcW w:w="1860" w:type="dxa"/>
            <w:tcMar>
              <w:top w:w="0" w:type="dxa"/>
              <w:bottom w:w="0" w:type="dxa"/>
            </w:tcMar>
            <w:vAlign w:val="center"/>
          </w:tcPr>
          <w:p w14:paraId="0896810A" w14:textId="77777777" w:rsidR="00AF6B6A" w:rsidRDefault="00000000">
            <w:pPr>
              <w:keepNext/>
              <w:keepLines/>
              <w:spacing w:after="0" w:line="240" w:lineRule="auto"/>
              <w:jc w:val="right"/>
            </w:pPr>
            <w:r>
              <w:rPr>
                <w:sz w:val="18"/>
              </w:rPr>
              <w:t>5.900.497,15</w:t>
            </w:r>
          </w:p>
        </w:tc>
        <w:tc>
          <w:tcPr>
            <w:tcW w:w="700" w:type="dxa"/>
            <w:tcMar>
              <w:top w:w="0" w:type="dxa"/>
              <w:bottom w:w="0" w:type="dxa"/>
            </w:tcMar>
            <w:vAlign w:val="center"/>
          </w:tcPr>
          <w:p w14:paraId="10E11F8C" w14:textId="77777777" w:rsidR="00AF6B6A" w:rsidRDefault="00000000">
            <w:pPr>
              <w:keepNext/>
              <w:keepLines/>
              <w:spacing w:after="0" w:line="240" w:lineRule="auto"/>
              <w:jc w:val="right"/>
            </w:pPr>
            <w:r>
              <w:rPr>
                <w:sz w:val="18"/>
              </w:rPr>
              <w:t>55,6</w:t>
            </w:r>
          </w:p>
        </w:tc>
      </w:tr>
    </w:tbl>
    <w:p w14:paraId="0CFC1457" w14:textId="77777777" w:rsidR="00AF6B6A" w:rsidRDefault="00AF6B6A">
      <w:pPr>
        <w:spacing w:after="0"/>
      </w:pPr>
    </w:p>
    <w:p w14:paraId="3DA4F5EB" w14:textId="77777777" w:rsidR="00AF6B6A" w:rsidRDefault="00000000">
      <w:r>
        <w:rPr>
          <w:b/>
        </w:rPr>
        <w:t>NOVAC U BANCI I BLAGAJNI - 5.900.497,15 EUR</w:t>
      </w:r>
    </w:p>
    <w:p w14:paraId="7C7B0791" w14:textId="77777777" w:rsidR="00AF6B6A" w:rsidRDefault="00000000">
      <w:r>
        <w:t>NOVAC NA ŽIRO RAČUNU – ERSTE BANKA - 2.549.880,77 EUR</w:t>
      </w:r>
      <w:r>
        <w:br/>
        <w:t>Novac na deviznom računu kod tuzemnih banaka - USD - 24.085,12 USD</w:t>
      </w:r>
    </w:p>
    <w:p w14:paraId="16DE45A8" w14:textId="77777777" w:rsidR="00AF6B6A" w:rsidRDefault="00000000">
      <w:r>
        <w:rPr>
          <w:b/>
        </w:rPr>
        <w:t>IZDVOJENA NOVČANA SREDSTVA ZA OSTALE NAMJENE</w:t>
      </w:r>
    </w:p>
    <w:p w14:paraId="6822FACC" w14:textId="77777777" w:rsidR="00AF6B6A" w:rsidRDefault="00000000">
      <w:pPr>
        <w:pStyle w:val="ListParagraph"/>
        <w:numPr>
          <w:ilvl w:val="0"/>
          <w:numId w:val="1"/>
        </w:numPr>
      </w:pPr>
      <w:r>
        <w:t>Izdvojena novčana sredstva za ostale namjene – HPB - 234.949,24 EUR</w:t>
      </w:r>
      <w:r>
        <w:br/>
        <w:t>Izdvojena novčana sredstva za ostale namjene – SORTIRNICA - podračun - 7.441,28 EUR</w:t>
      </w:r>
      <w:r>
        <w:br/>
        <w:t>Izdvojena novčana sredstva za ostale namjene – ŠKOLSKA SHEMA 21/22 - podračun - 24.782,96 EUR</w:t>
      </w:r>
      <w:r>
        <w:br/>
        <w:t>Izdvojena novčana sredstva za ostale namjene – ŠKOLSKA SHEMA 22/23 - podračun - 7.961,50 EUR</w:t>
      </w:r>
      <w:r>
        <w:br/>
        <w:t>Izdvojena novčana sredstva za ostale namjene – KREDIT - podračun - 904.670,93 EUR</w:t>
      </w:r>
      <w:r>
        <w:br/>
      </w:r>
      <w:r>
        <w:lastRenderedPageBreak/>
        <w:t>Izdvojena novčana sredstva za ostale namjene – ITU-TEHNIČKA POMOĆ - podračun - 91.661,41 EUR</w:t>
      </w:r>
    </w:p>
    <w:p w14:paraId="20FC49DD" w14:textId="77777777" w:rsidR="00AF6B6A" w:rsidRDefault="00000000">
      <w:pPr>
        <w:pStyle w:val="ListParagraph"/>
        <w:numPr>
          <w:ilvl w:val="0"/>
          <w:numId w:val="1"/>
        </w:numPr>
      </w:pPr>
      <w:r>
        <w:t>Izdvojena novčana sredstva za ostale namjene - DEPOZITI - 15.000,00 EUR</w:t>
      </w:r>
    </w:p>
    <w:p w14:paraId="09AA7064" w14:textId="77777777" w:rsidR="00AF6B6A" w:rsidRDefault="00000000">
      <w:pPr>
        <w:pStyle w:val="ListParagraph"/>
        <w:numPr>
          <w:ilvl w:val="0"/>
          <w:numId w:val="1"/>
        </w:numPr>
      </w:pPr>
      <w:r>
        <w:t>Izdvojena novčana sredstva za ostale namjene – PROJEKT PONOS - podračun - 325.639,56 EUR</w:t>
      </w:r>
    </w:p>
    <w:p w14:paraId="6AA65C48" w14:textId="77777777" w:rsidR="00AF6B6A" w:rsidRDefault="00000000">
      <w:pPr>
        <w:pStyle w:val="ListParagraph"/>
        <w:numPr>
          <w:ilvl w:val="0"/>
          <w:numId w:val="1"/>
        </w:numPr>
      </w:pPr>
      <w:r>
        <w:t>Izdvojena novčana sredstva za ostale namjene - InterAct Green - 1.642.464,55 EUR</w:t>
      </w:r>
      <w:r>
        <w:br/>
        <w:t>Izdvojena novčana sredstva za ostale namjene – PROJEKT SPAS - podračun 71.700,20 EUR</w:t>
      </w:r>
    </w:p>
    <w:p w14:paraId="0B2F1997" w14:textId="77777777" w:rsidR="00AF6B6A" w:rsidRDefault="00000000">
      <w:r>
        <w:br/>
      </w:r>
      <w:r>
        <w:rPr>
          <w:b/>
        </w:rPr>
        <w:t xml:space="preserve">NOVAC U BLAGAJNI  </w:t>
      </w:r>
      <w:r>
        <w:br/>
        <w:t>Blagajna u domaćem sredstvu plaćanja - 259,63 EUR </w:t>
      </w:r>
    </w:p>
    <w:p w14:paraId="28F56AC2" w14:textId="77777777" w:rsidR="00AF6B6A" w:rsidRDefault="00AF6B6A"/>
    <w:p w14:paraId="6A0D5117" w14:textId="77777777" w:rsidR="00AF6B6A" w:rsidRDefault="00000000">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79B3C9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ECDD8A"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FBA61C"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207C1B"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45DBEC"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12A47C"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3CE1EB" w14:textId="77777777" w:rsidR="00AF6B6A" w:rsidRDefault="00000000">
            <w:pPr>
              <w:keepNext/>
              <w:keepLines/>
              <w:spacing w:after="0" w:line="240" w:lineRule="auto"/>
              <w:jc w:val="center"/>
            </w:pPr>
            <w:r>
              <w:rPr>
                <w:b/>
                <w:sz w:val="18"/>
              </w:rPr>
              <w:t>Indeks (%)</w:t>
            </w:r>
          </w:p>
        </w:tc>
      </w:tr>
      <w:tr w:rsidR="00AF6B6A" w14:paraId="191B5839" w14:textId="77777777">
        <w:tblPrEx>
          <w:tblCellMar>
            <w:top w:w="0" w:type="dxa"/>
            <w:bottom w:w="0" w:type="dxa"/>
          </w:tblCellMar>
        </w:tblPrEx>
        <w:trPr>
          <w:cantSplit/>
          <w:trHeight w:val="560"/>
        </w:trPr>
        <w:tc>
          <w:tcPr>
            <w:tcW w:w="700" w:type="dxa"/>
            <w:tcMar>
              <w:top w:w="0" w:type="dxa"/>
              <w:bottom w:w="0" w:type="dxa"/>
            </w:tcMar>
            <w:vAlign w:val="center"/>
          </w:tcPr>
          <w:p w14:paraId="01346837" w14:textId="77777777" w:rsidR="00AF6B6A" w:rsidRDefault="00000000">
            <w:pPr>
              <w:keepNext/>
              <w:keepLines/>
              <w:spacing w:after="0" w:line="240" w:lineRule="auto"/>
            </w:pPr>
            <w:r>
              <w:rPr>
                <w:sz w:val="18"/>
              </w:rPr>
              <w:t>1112</w:t>
            </w:r>
          </w:p>
        </w:tc>
        <w:tc>
          <w:tcPr>
            <w:tcW w:w="3180" w:type="dxa"/>
            <w:tcMar>
              <w:top w:w="0" w:type="dxa"/>
              <w:bottom w:w="0" w:type="dxa"/>
            </w:tcMar>
            <w:vAlign w:val="center"/>
          </w:tcPr>
          <w:p w14:paraId="528EC8E4" w14:textId="77777777" w:rsidR="00AF6B6A"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4ABDB489" w14:textId="77777777" w:rsidR="00AF6B6A" w:rsidRDefault="00000000">
            <w:pPr>
              <w:keepNext/>
              <w:keepLines/>
              <w:spacing w:after="0" w:line="240" w:lineRule="auto"/>
            </w:pPr>
            <w:r>
              <w:rPr>
                <w:sz w:val="18"/>
              </w:rPr>
              <w:t>1112</w:t>
            </w:r>
          </w:p>
        </w:tc>
        <w:tc>
          <w:tcPr>
            <w:tcW w:w="1860" w:type="dxa"/>
            <w:tcMar>
              <w:top w:w="0" w:type="dxa"/>
              <w:bottom w:w="0" w:type="dxa"/>
            </w:tcMar>
            <w:vAlign w:val="center"/>
          </w:tcPr>
          <w:p w14:paraId="6AC3CBAD" w14:textId="77777777" w:rsidR="00AF6B6A" w:rsidRDefault="00000000">
            <w:pPr>
              <w:keepNext/>
              <w:keepLines/>
              <w:spacing w:after="0" w:line="240" w:lineRule="auto"/>
              <w:jc w:val="right"/>
            </w:pPr>
            <w:r>
              <w:rPr>
                <w:sz w:val="18"/>
              </w:rPr>
              <w:t>9.379.965,36</w:t>
            </w:r>
          </w:p>
        </w:tc>
        <w:tc>
          <w:tcPr>
            <w:tcW w:w="1860" w:type="dxa"/>
            <w:tcMar>
              <w:top w:w="0" w:type="dxa"/>
              <w:bottom w:w="0" w:type="dxa"/>
            </w:tcMar>
            <w:vAlign w:val="center"/>
          </w:tcPr>
          <w:p w14:paraId="746998DE" w14:textId="77777777" w:rsidR="00AF6B6A" w:rsidRDefault="00000000">
            <w:pPr>
              <w:keepNext/>
              <w:keepLines/>
              <w:spacing w:after="0" w:line="240" w:lineRule="auto"/>
              <w:jc w:val="right"/>
            </w:pPr>
            <w:r>
              <w:rPr>
                <w:sz w:val="18"/>
              </w:rPr>
              <w:t>2.573.965,89</w:t>
            </w:r>
          </w:p>
        </w:tc>
        <w:tc>
          <w:tcPr>
            <w:tcW w:w="700" w:type="dxa"/>
            <w:tcMar>
              <w:top w:w="0" w:type="dxa"/>
              <w:bottom w:w="0" w:type="dxa"/>
            </w:tcMar>
            <w:vAlign w:val="center"/>
          </w:tcPr>
          <w:p w14:paraId="121A6181" w14:textId="77777777" w:rsidR="00AF6B6A" w:rsidRDefault="00000000">
            <w:pPr>
              <w:keepNext/>
              <w:keepLines/>
              <w:spacing w:after="0" w:line="240" w:lineRule="auto"/>
              <w:jc w:val="right"/>
            </w:pPr>
            <w:r>
              <w:rPr>
                <w:sz w:val="18"/>
              </w:rPr>
              <w:t>27,4</w:t>
            </w:r>
          </w:p>
        </w:tc>
      </w:tr>
    </w:tbl>
    <w:p w14:paraId="49144BB0" w14:textId="77777777" w:rsidR="00AF6B6A" w:rsidRDefault="00AF6B6A">
      <w:pPr>
        <w:spacing w:after="0"/>
      </w:pPr>
    </w:p>
    <w:p w14:paraId="2AA875A2" w14:textId="77777777" w:rsidR="00AF6B6A" w:rsidRDefault="00000000">
      <w:pPr>
        <w:jc w:val="both"/>
      </w:pPr>
      <w:r>
        <w:t>Dio smanjenja na kontu novac na računu kod tuzemnih poslovnih banaka (1112) odnosi se na smanjenje zbog ispravka krivog konta. Naime, sredstva za projekt InterAct Green vodili smo na kontu novac na računu kod tuzemnih poslovnih banaka te smo nakon uočene pogreške, preselili navedena sredstva na konto izdvojenih novčanih sredstava. Tu se radi o smanjenju u iznosu od 1.901.712,93 eura, dok je ostatak smanjenja na ovom kontu zbog smanjenog priljeva sredstava na žiroračun, kao i zbog odljeva kako bismo na vrijeme podmirili obveze Grada u skladu s dospijećem.</w:t>
      </w:r>
    </w:p>
    <w:p w14:paraId="1BB58166" w14:textId="77777777" w:rsidR="00AF6B6A" w:rsidRDefault="00AF6B6A"/>
    <w:p w14:paraId="1D31ECB7" w14:textId="77777777" w:rsidR="00AF6B6A" w:rsidRDefault="00000000">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3CD4E9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52E6F9"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73A4AA"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80EF2A"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63FD31"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F51FF6"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D7EE10" w14:textId="77777777" w:rsidR="00AF6B6A" w:rsidRDefault="00000000">
            <w:pPr>
              <w:keepNext/>
              <w:keepLines/>
              <w:spacing w:after="0" w:line="240" w:lineRule="auto"/>
              <w:jc w:val="center"/>
            </w:pPr>
            <w:r>
              <w:rPr>
                <w:b/>
                <w:sz w:val="18"/>
              </w:rPr>
              <w:t>Indeks (%)</w:t>
            </w:r>
          </w:p>
        </w:tc>
      </w:tr>
      <w:tr w:rsidR="00AF6B6A" w14:paraId="6B9F6C81" w14:textId="77777777">
        <w:tblPrEx>
          <w:tblCellMar>
            <w:top w:w="0" w:type="dxa"/>
            <w:bottom w:w="0" w:type="dxa"/>
          </w:tblCellMar>
        </w:tblPrEx>
        <w:trPr>
          <w:cantSplit/>
          <w:trHeight w:val="560"/>
        </w:trPr>
        <w:tc>
          <w:tcPr>
            <w:tcW w:w="700" w:type="dxa"/>
            <w:tcMar>
              <w:top w:w="0" w:type="dxa"/>
              <w:bottom w:w="0" w:type="dxa"/>
            </w:tcMar>
            <w:vAlign w:val="center"/>
          </w:tcPr>
          <w:p w14:paraId="4F1D1F33" w14:textId="77777777" w:rsidR="00AF6B6A" w:rsidRDefault="00000000">
            <w:pPr>
              <w:keepNext/>
              <w:keepLines/>
              <w:spacing w:after="0" w:line="240" w:lineRule="auto"/>
            </w:pPr>
            <w:r>
              <w:rPr>
                <w:sz w:val="18"/>
              </w:rPr>
              <w:t>1121</w:t>
            </w:r>
          </w:p>
        </w:tc>
        <w:tc>
          <w:tcPr>
            <w:tcW w:w="3180" w:type="dxa"/>
            <w:tcMar>
              <w:top w:w="0" w:type="dxa"/>
              <w:bottom w:w="0" w:type="dxa"/>
            </w:tcMar>
            <w:vAlign w:val="center"/>
          </w:tcPr>
          <w:p w14:paraId="2B42C5CA" w14:textId="77777777" w:rsidR="00AF6B6A" w:rsidRDefault="00000000">
            <w:pPr>
              <w:keepNext/>
              <w:keepLines/>
              <w:spacing w:after="0" w:line="240" w:lineRule="auto"/>
            </w:pPr>
            <w:r>
              <w:rPr>
                <w:sz w:val="18"/>
              </w:rPr>
              <w:t>Izdvojena novčana sredstva</w:t>
            </w:r>
          </w:p>
        </w:tc>
        <w:tc>
          <w:tcPr>
            <w:tcW w:w="700" w:type="dxa"/>
            <w:tcMar>
              <w:top w:w="0" w:type="dxa"/>
              <w:bottom w:w="0" w:type="dxa"/>
            </w:tcMar>
            <w:vAlign w:val="center"/>
          </w:tcPr>
          <w:p w14:paraId="3BAA9D31" w14:textId="77777777" w:rsidR="00AF6B6A" w:rsidRDefault="00000000">
            <w:pPr>
              <w:keepNext/>
              <w:keepLines/>
              <w:spacing w:after="0" w:line="240" w:lineRule="auto"/>
            </w:pPr>
            <w:r>
              <w:rPr>
                <w:sz w:val="18"/>
              </w:rPr>
              <w:t>1121</w:t>
            </w:r>
          </w:p>
        </w:tc>
        <w:tc>
          <w:tcPr>
            <w:tcW w:w="1860" w:type="dxa"/>
            <w:tcMar>
              <w:top w:w="0" w:type="dxa"/>
              <w:bottom w:w="0" w:type="dxa"/>
            </w:tcMar>
            <w:vAlign w:val="center"/>
          </w:tcPr>
          <w:p w14:paraId="1B5D2D3B" w14:textId="77777777" w:rsidR="00AF6B6A" w:rsidRDefault="00000000">
            <w:pPr>
              <w:keepNext/>
              <w:keepLines/>
              <w:spacing w:after="0" w:line="240" w:lineRule="auto"/>
              <w:jc w:val="right"/>
            </w:pPr>
            <w:r>
              <w:rPr>
                <w:sz w:val="18"/>
              </w:rPr>
              <w:t>1.226.077,66</w:t>
            </w:r>
          </w:p>
        </w:tc>
        <w:tc>
          <w:tcPr>
            <w:tcW w:w="1860" w:type="dxa"/>
            <w:tcMar>
              <w:top w:w="0" w:type="dxa"/>
              <w:bottom w:w="0" w:type="dxa"/>
            </w:tcMar>
            <w:vAlign w:val="center"/>
          </w:tcPr>
          <w:p w14:paraId="609CEE66" w14:textId="77777777" w:rsidR="00AF6B6A" w:rsidRDefault="00000000">
            <w:pPr>
              <w:keepNext/>
              <w:keepLines/>
              <w:spacing w:after="0" w:line="240" w:lineRule="auto"/>
              <w:jc w:val="right"/>
            </w:pPr>
            <w:r>
              <w:rPr>
                <w:sz w:val="18"/>
              </w:rPr>
              <w:t>3.326.271,63</w:t>
            </w:r>
          </w:p>
        </w:tc>
        <w:tc>
          <w:tcPr>
            <w:tcW w:w="700" w:type="dxa"/>
            <w:tcMar>
              <w:top w:w="0" w:type="dxa"/>
              <w:bottom w:w="0" w:type="dxa"/>
            </w:tcMar>
            <w:vAlign w:val="center"/>
          </w:tcPr>
          <w:p w14:paraId="7F72A135" w14:textId="77777777" w:rsidR="00AF6B6A" w:rsidRDefault="00000000">
            <w:pPr>
              <w:keepNext/>
              <w:keepLines/>
              <w:spacing w:after="0" w:line="240" w:lineRule="auto"/>
              <w:jc w:val="right"/>
            </w:pPr>
            <w:r>
              <w:rPr>
                <w:sz w:val="18"/>
              </w:rPr>
              <w:t>271,3</w:t>
            </w:r>
          </w:p>
        </w:tc>
      </w:tr>
    </w:tbl>
    <w:p w14:paraId="5E12939D" w14:textId="77777777" w:rsidR="00AF6B6A" w:rsidRDefault="00AF6B6A">
      <w:pPr>
        <w:spacing w:after="0"/>
      </w:pPr>
    </w:p>
    <w:p w14:paraId="09B5C687" w14:textId="77777777" w:rsidR="00AF6B6A" w:rsidRDefault="00000000">
      <w:pPr>
        <w:jc w:val="both"/>
      </w:pPr>
      <w:r>
        <w:t>Izdvojena novčana sredstva (1121) povećana su u odnosu na prošlu godinu zbog gore pojašnjenog razloga. </w:t>
      </w:r>
    </w:p>
    <w:p w14:paraId="1D8DF061" w14:textId="77777777" w:rsidR="00AF6B6A" w:rsidRDefault="00AF6B6A"/>
    <w:p w14:paraId="694B69B7" w14:textId="77777777" w:rsidR="00AF6B6A" w:rsidRDefault="00000000">
      <w:pPr>
        <w:keepNext/>
        <w:spacing w:line="240" w:lineRule="auto"/>
        <w:jc w:val="center"/>
      </w:pPr>
      <w:r>
        <w:rPr>
          <w:sz w:val="28"/>
        </w:rPr>
        <w:lastRenderedPageBreak/>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220001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237F54"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D877EF"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7DCB0F"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E40A58"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6D8A3D"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05D2FCF" w14:textId="77777777" w:rsidR="00AF6B6A" w:rsidRDefault="00000000">
            <w:pPr>
              <w:keepNext/>
              <w:keepLines/>
              <w:spacing w:after="0" w:line="240" w:lineRule="auto"/>
              <w:jc w:val="center"/>
            </w:pPr>
            <w:r>
              <w:rPr>
                <w:b/>
                <w:sz w:val="18"/>
              </w:rPr>
              <w:t>Indeks (%)</w:t>
            </w:r>
          </w:p>
        </w:tc>
      </w:tr>
      <w:tr w:rsidR="00AF6B6A" w14:paraId="1C8BA501" w14:textId="77777777">
        <w:tblPrEx>
          <w:tblCellMar>
            <w:top w:w="0" w:type="dxa"/>
            <w:bottom w:w="0" w:type="dxa"/>
          </w:tblCellMar>
        </w:tblPrEx>
        <w:trPr>
          <w:cantSplit/>
          <w:trHeight w:val="560"/>
        </w:trPr>
        <w:tc>
          <w:tcPr>
            <w:tcW w:w="700" w:type="dxa"/>
            <w:tcMar>
              <w:top w:w="0" w:type="dxa"/>
              <w:bottom w:w="0" w:type="dxa"/>
            </w:tcMar>
            <w:vAlign w:val="center"/>
          </w:tcPr>
          <w:p w14:paraId="7553C004" w14:textId="77777777" w:rsidR="00AF6B6A" w:rsidRDefault="00000000">
            <w:pPr>
              <w:keepNext/>
              <w:keepLines/>
              <w:spacing w:after="0" w:line="240" w:lineRule="auto"/>
            </w:pPr>
            <w:r>
              <w:rPr>
                <w:sz w:val="18"/>
              </w:rPr>
              <w:t>123</w:t>
            </w:r>
          </w:p>
        </w:tc>
        <w:tc>
          <w:tcPr>
            <w:tcW w:w="3180" w:type="dxa"/>
            <w:tcMar>
              <w:top w:w="0" w:type="dxa"/>
              <w:bottom w:w="0" w:type="dxa"/>
            </w:tcMar>
            <w:vAlign w:val="center"/>
          </w:tcPr>
          <w:p w14:paraId="28FA3FA8" w14:textId="77777777" w:rsidR="00AF6B6A" w:rsidRDefault="00000000">
            <w:pPr>
              <w:keepNext/>
              <w:keepLines/>
              <w:spacing w:after="0" w:line="240" w:lineRule="auto"/>
            </w:pPr>
            <w:r>
              <w:rPr>
                <w:sz w:val="18"/>
              </w:rPr>
              <w:t>Potraživanja od zaposlenih</w:t>
            </w:r>
          </w:p>
        </w:tc>
        <w:tc>
          <w:tcPr>
            <w:tcW w:w="700" w:type="dxa"/>
            <w:tcMar>
              <w:top w:w="0" w:type="dxa"/>
              <w:bottom w:w="0" w:type="dxa"/>
            </w:tcMar>
            <w:vAlign w:val="center"/>
          </w:tcPr>
          <w:p w14:paraId="2368E095" w14:textId="77777777" w:rsidR="00AF6B6A" w:rsidRDefault="00000000">
            <w:pPr>
              <w:keepNext/>
              <w:keepLines/>
              <w:spacing w:after="0" w:line="240" w:lineRule="auto"/>
            </w:pPr>
            <w:r>
              <w:rPr>
                <w:sz w:val="18"/>
              </w:rPr>
              <w:t>123</w:t>
            </w:r>
          </w:p>
        </w:tc>
        <w:tc>
          <w:tcPr>
            <w:tcW w:w="1860" w:type="dxa"/>
            <w:tcMar>
              <w:top w:w="0" w:type="dxa"/>
              <w:bottom w:w="0" w:type="dxa"/>
            </w:tcMar>
            <w:vAlign w:val="center"/>
          </w:tcPr>
          <w:p w14:paraId="097C71B9" w14:textId="77777777" w:rsidR="00AF6B6A" w:rsidRDefault="00000000">
            <w:pPr>
              <w:keepNext/>
              <w:keepLines/>
              <w:spacing w:after="0" w:line="240" w:lineRule="auto"/>
              <w:jc w:val="right"/>
            </w:pPr>
            <w:r>
              <w:rPr>
                <w:sz w:val="18"/>
              </w:rPr>
              <w:t>4.127,87</w:t>
            </w:r>
          </w:p>
        </w:tc>
        <w:tc>
          <w:tcPr>
            <w:tcW w:w="1860" w:type="dxa"/>
            <w:tcMar>
              <w:top w:w="0" w:type="dxa"/>
              <w:bottom w:w="0" w:type="dxa"/>
            </w:tcMar>
            <w:vAlign w:val="center"/>
          </w:tcPr>
          <w:p w14:paraId="06238586" w14:textId="77777777" w:rsidR="00AF6B6A" w:rsidRDefault="00000000">
            <w:pPr>
              <w:keepNext/>
              <w:keepLines/>
              <w:spacing w:after="0" w:line="240" w:lineRule="auto"/>
              <w:jc w:val="right"/>
            </w:pPr>
            <w:r>
              <w:rPr>
                <w:sz w:val="18"/>
              </w:rPr>
              <w:t>6.141,01</w:t>
            </w:r>
          </w:p>
        </w:tc>
        <w:tc>
          <w:tcPr>
            <w:tcW w:w="700" w:type="dxa"/>
            <w:tcMar>
              <w:top w:w="0" w:type="dxa"/>
              <w:bottom w:w="0" w:type="dxa"/>
            </w:tcMar>
            <w:vAlign w:val="center"/>
          </w:tcPr>
          <w:p w14:paraId="1BC62BD1" w14:textId="77777777" w:rsidR="00AF6B6A" w:rsidRDefault="00000000">
            <w:pPr>
              <w:keepNext/>
              <w:keepLines/>
              <w:spacing w:after="0" w:line="240" w:lineRule="auto"/>
              <w:jc w:val="right"/>
            </w:pPr>
            <w:r>
              <w:rPr>
                <w:sz w:val="18"/>
              </w:rPr>
              <w:t>148,8</w:t>
            </w:r>
          </w:p>
        </w:tc>
      </w:tr>
    </w:tbl>
    <w:p w14:paraId="3445D40E" w14:textId="77777777" w:rsidR="00AF6B6A" w:rsidRDefault="00AF6B6A">
      <w:pPr>
        <w:spacing w:after="0"/>
      </w:pPr>
    </w:p>
    <w:p w14:paraId="75E4FBDE" w14:textId="77777777" w:rsidR="00AF6B6A" w:rsidRDefault="00000000">
      <w:pPr>
        <w:jc w:val="both"/>
      </w:pPr>
      <w:r>
        <w:t>Potraživanja od zaposlenih povećana su najvećim dijelom zbog zaduženog potraživanja od bivše djelatnice - djelatnici je sukladno Ugovoru o sufinanciranju troškova školovanja, grad Varaždin sufinancirao troškove školovanja. Zbog raskida radnog odnosa, djelatnica je dužna vratiti sredstva u proračun grada Varaždina.</w:t>
      </w:r>
    </w:p>
    <w:p w14:paraId="6C9F6B3B" w14:textId="77777777" w:rsidR="00AF6B6A" w:rsidRDefault="00AF6B6A"/>
    <w:p w14:paraId="3AE1B2BE" w14:textId="77777777" w:rsidR="00AF6B6A" w:rsidRDefault="00000000">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B77C4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92E3AF"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35A769"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644448"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9C4F88"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A3D1EC"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B92971" w14:textId="77777777" w:rsidR="00AF6B6A" w:rsidRDefault="00000000">
            <w:pPr>
              <w:keepNext/>
              <w:keepLines/>
              <w:spacing w:after="0" w:line="240" w:lineRule="auto"/>
              <w:jc w:val="center"/>
            </w:pPr>
            <w:r>
              <w:rPr>
                <w:b/>
                <w:sz w:val="18"/>
              </w:rPr>
              <w:t>Indeks (%)</w:t>
            </w:r>
          </w:p>
        </w:tc>
      </w:tr>
      <w:tr w:rsidR="00AF6B6A" w14:paraId="404E8FC6" w14:textId="77777777">
        <w:tblPrEx>
          <w:tblCellMar>
            <w:top w:w="0" w:type="dxa"/>
            <w:bottom w:w="0" w:type="dxa"/>
          </w:tblCellMar>
        </w:tblPrEx>
        <w:trPr>
          <w:cantSplit/>
          <w:trHeight w:val="560"/>
        </w:trPr>
        <w:tc>
          <w:tcPr>
            <w:tcW w:w="700" w:type="dxa"/>
            <w:tcMar>
              <w:top w:w="0" w:type="dxa"/>
              <w:bottom w:w="0" w:type="dxa"/>
            </w:tcMar>
            <w:vAlign w:val="center"/>
          </w:tcPr>
          <w:p w14:paraId="0CC0AE30" w14:textId="77777777" w:rsidR="00AF6B6A" w:rsidRDefault="00000000">
            <w:pPr>
              <w:keepNext/>
              <w:keepLines/>
              <w:spacing w:after="0" w:line="240" w:lineRule="auto"/>
            </w:pPr>
            <w:r>
              <w:rPr>
                <w:sz w:val="18"/>
              </w:rPr>
              <w:t>124</w:t>
            </w:r>
          </w:p>
        </w:tc>
        <w:tc>
          <w:tcPr>
            <w:tcW w:w="3180" w:type="dxa"/>
            <w:tcMar>
              <w:top w:w="0" w:type="dxa"/>
              <w:bottom w:w="0" w:type="dxa"/>
            </w:tcMar>
            <w:vAlign w:val="center"/>
          </w:tcPr>
          <w:p w14:paraId="56E727A6" w14:textId="77777777" w:rsidR="00AF6B6A" w:rsidRDefault="00000000">
            <w:pPr>
              <w:keepNext/>
              <w:keepLines/>
              <w:spacing w:after="0" w:line="240" w:lineRule="auto"/>
            </w:pPr>
            <w:r>
              <w:rPr>
                <w:sz w:val="18"/>
              </w:rPr>
              <w:t>Potraživanja za više plaćene poreze i doprinose</w:t>
            </w:r>
          </w:p>
        </w:tc>
        <w:tc>
          <w:tcPr>
            <w:tcW w:w="700" w:type="dxa"/>
            <w:tcMar>
              <w:top w:w="0" w:type="dxa"/>
              <w:bottom w:w="0" w:type="dxa"/>
            </w:tcMar>
            <w:vAlign w:val="center"/>
          </w:tcPr>
          <w:p w14:paraId="7CE8FEB1" w14:textId="77777777" w:rsidR="00AF6B6A" w:rsidRDefault="00000000">
            <w:pPr>
              <w:keepNext/>
              <w:keepLines/>
              <w:spacing w:after="0" w:line="240" w:lineRule="auto"/>
            </w:pPr>
            <w:r>
              <w:rPr>
                <w:sz w:val="18"/>
              </w:rPr>
              <w:t>124</w:t>
            </w:r>
          </w:p>
        </w:tc>
        <w:tc>
          <w:tcPr>
            <w:tcW w:w="1860" w:type="dxa"/>
            <w:tcMar>
              <w:top w:w="0" w:type="dxa"/>
              <w:bottom w:w="0" w:type="dxa"/>
            </w:tcMar>
            <w:vAlign w:val="center"/>
          </w:tcPr>
          <w:p w14:paraId="117FC204" w14:textId="77777777" w:rsidR="00AF6B6A" w:rsidRDefault="00000000">
            <w:pPr>
              <w:keepNext/>
              <w:keepLines/>
              <w:spacing w:after="0" w:line="240" w:lineRule="auto"/>
              <w:jc w:val="right"/>
            </w:pPr>
            <w:r>
              <w:rPr>
                <w:sz w:val="18"/>
              </w:rPr>
              <w:t>27.766,37</w:t>
            </w:r>
          </w:p>
        </w:tc>
        <w:tc>
          <w:tcPr>
            <w:tcW w:w="1860" w:type="dxa"/>
            <w:tcMar>
              <w:top w:w="0" w:type="dxa"/>
              <w:bottom w:w="0" w:type="dxa"/>
            </w:tcMar>
            <w:vAlign w:val="center"/>
          </w:tcPr>
          <w:p w14:paraId="6D42D4B7" w14:textId="77777777" w:rsidR="00AF6B6A" w:rsidRDefault="00000000">
            <w:pPr>
              <w:keepNext/>
              <w:keepLines/>
              <w:spacing w:after="0" w:line="240" w:lineRule="auto"/>
              <w:jc w:val="right"/>
            </w:pPr>
            <w:r>
              <w:rPr>
                <w:sz w:val="18"/>
              </w:rPr>
              <w:t>15.014,81</w:t>
            </w:r>
          </w:p>
        </w:tc>
        <w:tc>
          <w:tcPr>
            <w:tcW w:w="700" w:type="dxa"/>
            <w:tcMar>
              <w:top w:w="0" w:type="dxa"/>
              <w:bottom w:w="0" w:type="dxa"/>
            </w:tcMar>
            <w:vAlign w:val="center"/>
          </w:tcPr>
          <w:p w14:paraId="37E75256" w14:textId="77777777" w:rsidR="00AF6B6A" w:rsidRDefault="00000000">
            <w:pPr>
              <w:keepNext/>
              <w:keepLines/>
              <w:spacing w:after="0" w:line="240" w:lineRule="auto"/>
              <w:jc w:val="right"/>
            </w:pPr>
            <w:r>
              <w:rPr>
                <w:sz w:val="18"/>
              </w:rPr>
              <w:t>54,1</w:t>
            </w:r>
          </w:p>
        </w:tc>
      </w:tr>
    </w:tbl>
    <w:p w14:paraId="20EE734D" w14:textId="77777777" w:rsidR="00AF6B6A" w:rsidRDefault="00AF6B6A">
      <w:pPr>
        <w:spacing w:after="0"/>
      </w:pPr>
    </w:p>
    <w:p w14:paraId="76CA18AD" w14:textId="77777777" w:rsidR="00AF6B6A" w:rsidRDefault="00000000">
      <w:pPr>
        <w:jc w:val="both"/>
      </w:pPr>
      <w:r>
        <w:t>Potraživanja za više plaćene poreze i doprinose odnosi se na PDV za 2025. godinu za Javnu ustanovu Gradski Stanovi i Javnu ustanovu Gradski bazeni.</w:t>
      </w:r>
    </w:p>
    <w:p w14:paraId="42219E88" w14:textId="77777777" w:rsidR="00AF6B6A" w:rsidRDefault="00AF6B6A"/>
    <w:p w14:paraId="1ECBA0A6" w14:textId="77777777" w:rsidR="00AF6B6A" w:rsidRDefault="00000000">
      <w:pPr>
        <w:keepNext/>
        <w:spacing w:line="240" w:lineRule="auto"/>
        <w:jc w:val="center"/>
      </w:pPr>
      <w:r>
        <w:rPr>
          <w:sz w:val="28"/>
        </w:rPr>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156971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DEC099"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8F5B36"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AB1835"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CC912E"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EEA6914"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1CDF62A" w14:textId="77777777" w:rsidR="00AF6B6A" w:rsidRDefault="00000000">
            <w:pPr>
              <w:keepNext/>
              <w:keepLines/>
              <w:spacing w:after="0" w:line="240" w:lineRule="auto"/>
              <w:jc w:val="center"/>
            </w:pPr>
            <w:r>
              <w:rPr>
                <w:b/>
                <w:sz w:val="18"/>
              </w:rPr>
              <w:t>Indeks (%)</w:t>
            </w:r>
          </w:p>
        </w:tc>
      </w:tr>
      <w:tr w:rsidR="00AF6B6A" w14:paraId="24EA34D6" w14:textId="77777777">
        <w:tblPrEx>
          <w:tblCellMar>
            <w:top w:w="0" w:type="dxa"/>
            <w:bottom w:w="0" w:type="dxa"/>
          </w:tblCellMar>
        </w:tblPrEx>
        <w:trPr>
          <w:cantSplit/>
          <w:trHeight w:val="560"/>
        </w:trPr>
        <w:tc>
          <w:tcPr>
            <w:tcW w:w="700" w:type="dxa"/>
            <w:tcMar>
              <w:top w:w="0" w:type="dxa"/>
              <w:bottom w:w="0" w:type="dxa"/>
            </w:tcMar>
            <w:vAlign w:val="center"/>
          </w:tcPr>
          <w:p w14:paraId="092826AB" w14:textId="77777777" w:rsidR="00AF6B6A" w:rsidRDefault="00000000">
            <w:pPr>
              <w:keepNext/>
              <w:keepLines/>
              <w:spacing w:after="0" w:line="240" w:lineRule="auto"/>
            </w:pPr>
            <w:r>
              <w:rPr>
                <w:sz w:val="18"/>
              </w:rPr>
              <w:t>1341</w:t>
            </w:r>
          </w:p>
        </w:tc>
        <w:tc>
          <w:tcPr>
            <w:tcW w:w="3180" w:type="dxa"/>
            <w:tcMar>
              <w:top w:w="0" w:type="dxa"/>
              <w:bottom w:w="0" w:type="dxa"/>
            </w:tcMar>
            <w:vAlign w:val="center"/>
          </w:tcPr>
          <w:p w14:paraId="646014A2" w14:textId="77777777" w:rsidR="00AF6B6A" w:rsidRDefault="00000000">
            <w:pPr>
              <w:keepNext/>
              <w:keepLines/>
              <w:spacing w:after="0" w:line="240" w:lineRule="auto"/>
            </w:pPr>
            <w:r>
              <w:rPr>
                <w:sz w:val="18"/>
              </w:rPr>
              <w:t>Zajmovi trgovačkim društvima u javnom sektoru</w:t>
            </w:r>
          </w:p>
        </w:tc>
        <w:tc>
          <w:tcPr>
            <w:tcW w:w="700" w:type="dxa"/>
            <w:tcMar>
              <w:top w:w="0" w:type="dxa"/>
              <w:bottom w:w="0" w:type="dxa"/>
            </w:tcMar>
            <w:vAlign w:val="center"/>
          </w:tcPr>
          <w:p w14:paraId="550472A0" w14:textId="77777777" w:rsidR="00AF6B6A" w:rsidRDefault="00000000">
            <w:pPr>
              <w:keepNext/>
              <w:keepLines/>
              <w:spacing w:after="0" w:line="240" w:lineRule="auto"/>
            </w:pPr>
            <w:r>
              <w:rPr>
                <w:sz w:val="18"/>
              </w:rPr>
              <w:t>1341</w:t>
            </w:r>
          </w:p>
        </w:tc>
        <w:tc>
          <w:tcPr>
            <w:tcW w:w="1860" w:type="dxa"/>
            <w:tcMar>
              <w:top w:w="0" w:type="dxa"/>
              <w:bottom w:w="0" w:type="dxa"/>
            </w:tcMar>
            <w:vAlign w:val="center"/>
          </w:tcPr>
          <w:p w14:paraId="26AE53EB" w14:textId="77777777" w:rsidR="00AF6B6A" w:rsidRDefault="00000000">
            <w:pPr>
              <w:keepNext/>
              <w:keepLines/>
              <w:spacing w:after="0" w:line="240" w:lineRule="auto"/>
              <w:jc w:val="right"/>
            </w:pPr>
            <w:r>
              <w:rPr>
                <w:sz w:val="18"/>
              </w:rPr>
              <w:t>39.816,84</w:t>
            </w:r>
          </w:p>
        </w:tc>
        <w:tc>
          <w:tcPr>
            <w:tcW w:w="1860" w:type="dxa"/>
            <w:tcMar>
              <w:top w:w="0" w:type="dxa"/>
              <w:bottom w:w="0" w:type="dxa"/>
            </w:tcMar>
            <w:vAlign w:val="center"/>
          </w:tcPr>
          <w:p w14:paraId="08D63883" w14:textId="77777777" w:rsidR="00AF6B6A" w:rsidRDefault="00000000">
            <w:pPr>
              <w:keepNext/>
              <w:keepLines/>
              <w:spacing w:after="0" w:line="240" w:lineRule="auto"/>
              <w:jc w:val="right"/>
            </w:pPr>
            <w:r>
              <w:rPr>
                <w:sz w:val="18"/>
              </w:rPr>
              <w:t>930.000,00</w:t>
            </w:r>
          </w:p>
        </w:tc>
        <w:tc>
          <w:tcPr>
            <w:tcW w:w="700" w:type="dxa"/>
            <w:tcMar>
              <w:top w:w="0" w:type="dxa"/>
              <w:bottom w:w="0" w:type="dxa"/>
            </w:tcMar>
            <w:vAlign w:val="center"/>
          </w:tcPr>
          <w:p w14:paraId="1D42C0C6" w14:textId="77777777" w:rsidR="00AF6B6A" w:rsidRDefault="00000000">
            <w:pPr>
              <w:keepNext/>
              <w:keepLines/>
              <w:spacing w:after="0" w:line="240" w:lineRule="auto"/>
              <w:jc w:val="right"/>
            </w:pPr>
            <w:r>
              <w:rPr>
                <w:sz w:val="18"/>
              </w:rPr>
              <w:t>2335,7</w:t>
            </w:r>
          </w:p>
        </w:tc>
      </w:tr>
    </w:tbl>
    <w:p w14:paraId="47F9C577" w14:textId="77777777" w:rsidR="00AF6B6A" w:rsidRDefault="00AF6B6A">
      <w:pPr>
        <w:spacing w:after="0"/>
      </w:pPr>
    </w:p>
    <w:p w14:paraId="54194A42" w14:textId="77777777" w:rsidR="00AF6B6A" w:rsidRDefault="00000000">
      <w:pPr>
        <w:jc w:val="both"/>
      </w:pPr>
      <w:r>
        <w:t>Zajmovi trgovačkim društvima u javnom sektoru (1341) iznose 930.000,00 eura i odnose na zajam poduzeću TD Čistoća d.o.o., kojoj je odobrena pozajmica u ukupnom iznosu od 930.000,00 eura u svrhu održavanja likvidnosti tvrtke. </w:t>
      </w:r>
    </w:p>
    <w:p w14:paraId="6942B29F" w14:textId="77777777" w:rsidR="00AF6B6A" w:rsidRDefault="00AF6B6A"/>
    <w:p w14:paraId="3ECB6623" w14:textId="77777777" w:rsidR="00AF6B6A" w:rsidRDefault="00000000">
      <w:pPr>
        <w:keepNext/>
        <w:spacing w:line="240" w:lineRule="auto"/>
        <w:jc w:val="center"/>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1987EE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1A2788"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6B4594"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5908F2"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B8FF02"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1BDA6C"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975441" w14:textId="77777777" w:rsidR="00AF6B6A" w:rsidRDefault="00000000">
            <w:pPr>
              <w:keepNext/>
              <w:keepLines/>
              <w:spacing w:after="0" w:line="240" w:lineRule="auto"/>
              <w:jc w:val="center"/>
            </w:pPr>
            <w:r>
              <w:rPr>
                <w:b/>
                <w:sz w:val="18"/>
              </w:rPr>
              <w:t>Indeks (%)</w:t>
            </w:r>
          </w:p>
        </w:tc>
      </w:tr>
      <w:tr w:rsidR="00AF6B6A" w14:paraId="32E342C2" w14:textId="77777777">
        <w:tblPrEx>
          <w:tblCellMar>
            <w:top w:w="0" w:type="dxa"/>
            <w:bottom w:w="0" w:type="dxa"/>
          </w:tblCellMar>
        </w:tblPrEx>
        <w:trPr>
          <w:cantSplit/>
          <w:trHeight w:val="560"/>
        </w:trPr>
        <w:tc>
          <w:tcPr>
            <w:tcW w:w="700" w:type="dxa"/>
            <w:tcMar>
              <w:top w:w="0" w:type="dxa"/>
              <w:bottom w:w="0" w:type="dxa"/>
            </w:tcMar>
            <w:vAlign w:val="center"/>
          </w:tcPr>
          <w:p w14:paraId="0EC6F10F" w14:textId="77777777" w:rsidR="00AF6B6A" w:rsidRDefault="00000000">
            <w:pPr>
              <w:keepNext/>
              <w:keepLines/>
              <w:spacing w:after="0" w:line="240" w:lineRule="auto"/>
            </w:pPr>
            <w:r>
              <w:rPr>
                <w:sz w:val="18"/>
              </w:rPr>
              <w:t>1541</w:t>
            </w:r>
          </w:p>
        </w:tc>
        <w:tc>
          <w:tcPr>
            <w:tcW w:w="3180" w:type="dxa"/>
            <w:tcMar>
              <w:top w:w="0" w:type="dxa"/>
              <w:bottom w:w="0" w:type="dxa"/>
            </w:tcMar>
            <w:vAlign w:val="center"/>
          </w:tcPr>
          <w:p w14:paraId="011A7F1B" w14:textId="77777777" w:rsidR="00AF6B6A" w:rsidRDefault="00000000">
            <w:pPr>
              <w:keepNext/>
              <w:keepLines/>
              <w:spacing w:after="0" w:line="240" w:lineRule="auto"/>
            </w:pPr>
            <w:r>
              <w:rPr>
                <w:sz w:val="18"/>
              </w:rPr>
              <w:t>Dionice i udjeli u glavnici tuzemnih trgovačkih društava izvan javnog sektora</w:t>
            </w:r>
          </w:p>
        </w:tc>
        <w:tc>
          <w:tcPr>
            <w:tcW w:w="700" w:type="dxa"/>
            <w:tcMar>
              <w:top w:w="0" w:type="dxa"/>
              <w:bottom w:w="0" w:type="dxa"/>
            </w:tcMar>
            <w:vAlign w:val="center"/>
          </w:tcPr>
          <w:p w14:paraId="708ADA30" w14:textId="77777777" w:rsidR="00AF6B6A" w:rsidRDefault="00000000">
            <w:pPr>
              <w:keepNext/>
              <w:keepLines/>
              <w:spacing w:after="0" w:line="240" w:lineRule="auto"/>
            </w:pPr>
            <w:r>
              <w:rPr>
                <w:sz w:val="18"/>
              </w:rPr>
              <w:t>1541</w:t>
            </w:r>
          </w:p>
        </w:tc>
        <w:tc>
          <w:tcPr>
            <w:tcW w:w="1860" w:type="dxa"/>
            <w:tcMar>
              <w:top w:w="0" w:type="dxa"/>
              <w:bottom w:w="0" w:type="dxa"/>
            </w:tcMar>
            <w:vAlign w:val="center"/>
          </w:tcPr>
          <w:p w14:paraId="19E16A2A" w14:textId="77777777" w:rsidR="00AF6B6A" w:rsidRDefault="00000000">
            <w:pPr>
              <w:keepNext/>
              <w:keepLines/>
              <w:spacing w:after="0" w:line="240" w:lineRule="auto"/>
              <w:jc w:val="right"/>
            </w:pPr>
            <w:r>
              <w:rPr>
                <w:sz w:val="18"/>
              </w:rPr>
              <w:t>237.013,68</w:t>
            </w:r>
          </w:p>
        </w:tc>
        <w:tc>
          <w:tcPr>
            <w:tcW w:w="1860" w:type="dxa"/>
            <w:tcMar>
              <w:top w:w="0" w:type="dxa"/>
              <w:bottom w:w="0" w:type="dxa"/>
            </w:tcMar>
            <w:vAlign w:val="center"/>
          </w:tcPr>
          <w:p w14:paraId="77B27C89" w14:textId="77777777" w:rsidR="00AF6B6A" w:rsidRDefault="00000000">
            <w:pPr>
              <w:keepNext/>
              <w:keepLines/>
              <w:spacing w:after="0" w:line="240" w:lineRule="auto"/>
              <w:jc w:val="right"/>
            </w:pPr>
            <w:r>
              <w:rPr>
                <w:sz w:val="18"/>
              </w:rPr>
              <w:t>206.778,03</w:t>
            </w:r>
          </w:p>
        </w:tc>
        <w:tc>
          <w:tcPr>
            <w:tcW w:w="700" w:type="dxa"/>
            <w:tcMar>
              <w:top w:w="0" w:type="dxa"/>
              <w:bottom w:w="0" w:type="dxa"/>
            </w:tcMar>
            <w:vAlign w:val="center"/>
          </w:tcPr>
          <w:p w14:paraId="15608537" w14:textId="77777777" w:rsidR="00AF6B6A" w:rsidRDefault="00000000">
            <w:pPr>
              <w:keepNext/>
              <w:keepLines/>
              <w:spacing w:after="0" w:line="240" w:lineRule="auto"/>
              <w:jc w:val="right"/>
            </w:pPr>
            <w:r>
              <w:rPr>
                <w:sz w:val="18"/>
              </w:rPr>
              <w:t>87,2</w:t>
            </w:r>
          </w:p>
        </w:tc>
      </w:tr>
    </w:tbl>
    <w:p w14:paraId="5384D3A8" w14:textId="77777777" w:rsidR="00AF6B6A" w:rsidRDefault="00AF6B6A">
      <w:pPr>
        <w:spacing w:after="0"/>
      </w:pPr>
    </w:p>
    <w:p w14:paraId="29B8C34D" w14:textId="77777777" w:rsidR="00AF6B6A" w:rsidRDefault="00000000">
      <w:pPr>
        <w:jc w:val="both"/>
      </w:pPr>
      <w:r>
        <w:t xml:space="preserve">Dionice i udjeli u glavnici tuzemnih trgovačkih društava izvan javnog sektora (1541) smanjeni su u odnosu na prošlu godinu zbog isknjiženja poslovnih udjela MAGME d.d. Dionice su isknjižene iz poslovnih knjiga grada Varaždina budući da je navedeni subjekt </w:t>
      </w:r>
      <w:r>
        <w:lastRenderedPageBreak/>
        <w:t>brisan iz sudskog registra.</w:t>
      </w:r>
      <w:r>
        <w:br/>
        <w:t> </w:t>
      </w:r>
    </w:p>
    <w:p w14:paraId="302930B3" w14:textId="77777777" w:rsidR="00AF6B6A" w:rsidRDefault="00AF6B6A"/>
    <w:p w14:paraId="373E00B2" w14:textId="77777777" w:rsidR="00AF6B6A" w:rsidRDefault="00000000">
      <w:pPr>
        <w:keepNext/>
        <w:spacing w:line="240" w:lineRule="auto"/>
        <w:jc w:val="center"/>
      </w:pPr>
      <w:r>
        <w:rPr>
          <w:sz w:val="28"/>
        </w:rPr>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4AEB12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AD72F2"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1F9649"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D56FB2"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2ADF32"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C171B5"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933FFDA" w14:textId="77777777" w:rsidR="00AF6B6A" w:rsidRDefault="00000000">
            <w:pPr>
              <w:keepNext/>
              <w:keepLines/>
              <w:spacing w:after="0" w:line="240" w:lineRule="auto"/>
              <w:jc w:val="center"/>
            </w:pPr>
            <w:r>
              <w:rPr>
                <w:b/>
                <w:sz w:val="18"/>
              </w:rPr>
              <w:t>Indeks (%)</w:t>
            </w:r>
          </w:p>
        </w:tc>
      </w:tr>
      <w:tr w:rsidR="00AF6B6A" w14:paraId="5F826036" w14:textId="77777777">
        <w:tblPrEx>
          <w:tblCellMar>
            <w:top w:w="0" w:type="dxa"/>
            <w:bottom w:w="0" w:type="dxa"/>
          </w:tblCellMar>
        </w:tblPrEx>
        <w:trPr>
          <w:cantSplit/>
          <w:trHeight w:val="560"/>
        </w:trPr>
        <w:tc>
          <w:tcPr>
            <w:tcW w:w="700" w:type="dxa"/>
            <w:tcMar>
              <w:top w:w="0" w:type="dxa"/>
              <w:bottom w:w="0" w:type="dxa"/>
            </w:tcMar>
            <w:vAlign w:val="center"/>
          </w:tcPr>
          <w:p w14:paraId="3732B80F" w14:textId="77777777" w:rsidR="00AF6B6A" w:rsidRDefault="00000000">
            <w:pPr>
              <w:keepNext/>
              <w:keepLines/>
              <w:spacing w:after="0" w:line="240" w:lineRule="auto"/>
            </w:pPr>
            <w:r>
              <w:rPr>
                <w:sz w:val="18"/>
              </w:rPr>
              <w:t>1638</w:t>
            </w:r>
          </w:p>
        </w:tc>
        <w:tc>
          <w:tcPr>
            <w:tcW w:w="3180" w:type="dxa"/>
            <w:tcMar>
              <w:top w:w="0" w:type="dxa"/>
              <w:bottom w:w="0" w:type="dxa"/>
            </w:tcMar>
            <w:vAlign w:val="center"/>
          </w:tcPr>
          <w:p w14:paraId="2FCBEA52" w14:textId="77777777" w:rsidR="00AF6B6A" w:rsidRDefault="00000000">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3CE92195" w14:textId="77777777" w:rsidR="00AF6B6A" w:rsidRDefault="00000000">
            <w:pPr>
              <w:keepNext/>
              <w:keepLines/>
              <w:spacing w:after="0" w:line="240" w:lineRule="auto"/>
            </w:pPr>
            <w:r>
              <w:rPr>
                <w:sz w:val="18"/>
              </w:rPr>
              <w:t>1638</w:t>
            </w:r>
          </w:p>
        </w:tc>
        <w:tc>
          <w:tcPr>
            <w:tcW w:w="1860" w:type="dxa"/>
            <w:tcMar>
              <w:top w:w="0" w:type="dxa"/>
              <w:bottom w:w="0" w:type="dxa"/>
            </w:tcMar>
            <w:vAlign w:val="center"/>
          </w:tcPr>
          <w:p w14:paraId="56BA2A25" w14:textId="77777777" w:rsidR="00AF6B6A" w:rsidRDefault="00000000">
            <w:pPr>
              <w:keepNext/>
              <w:keepLines/>
              <w:spacing w:after="0" w:line="240" w:lineRule="auto"/>
              <w:jc w:val="right"/>
            </w:pPr>
            <w:r>
              <w:rPr>
                <w:sz w:val="18"/>
              </w:rPr>
              <w:t>521.460,61</w:t>
            </w:r>
          </w:p>
        </w:tc>
        <w:tc>
          <w:tcPr>
            <w:tcW w:w="1860" w:type="dxa"/>
            <w:tcMar>
              <w:top w:w="0" w:type="dxa"/>
              <w:bottom w:w="0" w:type="dxa"/>
            </w:tcMar>
            <w:vAlign w:val="center"/>
          </w:tcPr>
          <w:p w14:paraId="3EEF9F30" w14:textId="77777777" w:rsidR="00AF6B6A" w:rsidRDefault="00000000">
            <w:pPr>
              <w:keepNext/>
              <w:keepLines/>
              <w:spacing w:after="0" w:line="240" w:lineRule="auto"/>
              <w:jc w:val="right"/>
            </w:pPr>
            <w:r>
              <w:rPr>
                <w:sz w:val="18"/>
              </w:rPr>
              <w:t>123.211,73</w:t>
            </w:r>
          </w:p>
        </w:tc>
        <w:tc>
          <w:tcPr>
            <w:tcW w:w="700" w:type="dxa"/>
            <w:tcMar>
              <w:top w:w="0" w:type="dxa"/>
              <w:bottom w:w="0" w:type="dxa"/>
            </w:tcMar>
            <w:vAlign w:val="center"/>
          </w:tcPr>
          <w:p w14:paraId="09BAD4CD" w14:textId="77777777" w:rsidR="00AF6B6A" w:rsidRDefault="00000000">
            <w:pPr>
              <w:keepNext/>
              <w:keepLines/>
              <w:spacing w:after="0" w:line="240" w:lineRule="auto"/>
              <w:jc w:val="right"/>
            </w:pPr>
            <w:r>
              <w:rPr>
                <w:sz w:val="18"/>
              </w:rPr>
              <w:t>23,6</w:t>
            </w:r>
          </w:p>
        </w:tc>
      </w:tr>
    </w:tbl>
    <w:p w14:paraId="27B1EA1C" w14:textId="77777777" w:rsidR="00AF6B6A" w:rsidRDefault="00AF6B6A">
      <w:pPr>
        <w:spacing w:after="0"/>
      </w:pPr>
    </w:p>
    <w:p w14:paraId="6F6EFCA0" w14:textId="77777777" w:rsidR="00AF6B6A" w:rsidRDefault="00000000">
      <w:pPr>
        <w:jc w:val="both"/>
      </w:pPr>
      <w:r>
        <w:t>Potraživanja za pomoći temeljem prijenosa EU sredstava (1638) smanjeni su u odnosu na prošlu godinu. Naime, sukladno Uputi za računovodstveno evidentiranje sredstava Europske unije, potraživanja se priznaju po odobrenom ZNS-u u visini odobrenih potraživanih troškova, a takvih je na kraju 2025. godine bilo malo, pa su zato i potraživanja smanjena u odnosu na prošlu godinu.</w:t>
      </w:r>
      <w:r>
        <w:br/>
        <w:t> </w:t>
      </w:r>
    </w:p>
    <w:p w14:paraId="0FDE78C5" w14:textId="77777777" w:rsidR="00AF6B6A" w:rsidRDefault="00AF6B6A"/>
    <w:p w14:paraId="64CBCDBE" w14:textId="77777777" w:rsidR="00AF6B6A" w:rsidRDefault="00000000">
      <w:pPr>
        <w:keepNext/>
        <w:spacing w:line="240" w:lineRule="auto"/>
        <w:jc w:val="center"/>
      </w:pPr>
      <w:r>
        <w:rPr>
          <w:sz w:val="28"/>
        </w:rPr>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6C9CB6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A0EA5B"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4B9A53"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6C1FF8"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13414F"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8BD7A32"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805ABCD" w14:textId="77777777" w:rsidR="00AF6B6A" w:rsidRDefault="00000000">
            <w:pPr>
              <w:keepNext/>
              <w:keepLines/>
              <w:spacing w:after="0" w:line="240" w:lineRule="auto"/>
              <w:jc w:val="center"/>
            </w:pPr>
            <w:r>
              <w:rPr>
                <w:b/>
                <w:sz w:val="18"/>
              </w:rPr>
              <w:t>Indeks (%)</w:t>
            </w:r>
          </w:p>
        </w:tc>
      </w:tr>
      <w:tr w:rsidR="00AF6B6A" w14:paraId="5B80551B" w14:textId="77777777">
        <w:tblPrEx>
          <w:tblCellMar>
            <w:top w:w="0" w:type="dxa"/>
            <w:bottom w:w="0" w:type="dxa"/>
          </w:tblCellMar>
        </w:tblPrEx>
        <w:trPr>
          <w:cantSplit/>
          <w:trHeight w:val="560"/>
        </w:trPr>
        <w:tc>
          <w:tcPr>
            <w:tcW w:w="700" w:type="dxa"/>
            <w:tcMar>
              <w:top w:w="0" w:type="dxa"/>
              <w:bottom w:w="0" w:type="dxa"/>
            </w:tcMar>
            <w:vAlign w:val="center"/>
          </w:tcPr>
          <w:p w14:paraId="5322B209" w14:textId="77777777" w:rsidR="00AF6B6A" w:rsidRDefault="00000000">
            <w:pPr>
              <w:keepNext/>
              <w:keepLines/>
              <w:spacing w:after="0" w:line="240" w:lineRule="auto"/>
            </w:pPr>
            <w:r>
              <w:rPr>
                <w:sz w:val="18"/>
              </w:rPr>
              <w:t>169</w:t>
            </w:r>
          </w:p>
        </w:tc>
        <w:tc>
          <w:tcPr>
            <w:tcW w:w="3180" w:type="dxa"/>
            <w:tcMar>
              <w:top w:w="0" w:type="dxa"/>
              <w:bottom w:w="0" w:type="dxa"/>
            </w:tcMar>
            <w:vAlign w:val="center"/>
          </w:tcPr>
          <w:p w14:paraId="7514DA8F" w14:textId="77777777" w:rsidR="00AF6B6A" w:rsidRDefault="00000000">
            <w:pPr>
              <w:keepNext/>
              <w:keepLines/>
              <w:spacing w:after="0" w:line="240" w:lineRule="auto"/>
            </w:pPr>
            <w:r>
              <w:rPr>
                <w:sz w:val="18"/>
              </w:rPr>
              <w:t>Ispravak vrijednosti potraživanja</w:t>
            </w:r>
          </w:p>
        </w:tc>
        <w:tc>
          <w:tcPr>
            <w:tcW w:w="700" w:type="dxa"/>
            <w:tcMar>
              <w:top w:w="0" w:type="dxa"/>
              <w:bottom w:w="0" w:type="dxa"/>
            </w:tcMar>
            <w:vAlign w:val="center"/>
          </w:tcPr>
          <w:p w14:paraId="3C11913E" w14:textId="77777777" w:rsidR="00AF6B6A" w:rsidRDefault="00000000">
            <w:pPr>
              <w:keepNext/>
              <w:keepLines/>
              <w:spacing w:after="0" w:line="240" w:lineRule="auto"/>
            </w:pPr>
            <w:r>
              <w:rPr>
                <w:sz w:val="18"/>
              </w:rPr>
              <w:t>169</w:t>
            </w:r>
          </w:p>
        </w:tc>
        <w:tc>
          <w:tcPr>
            <w:tcW w:w="1860" w:type="dxa"/>
            <w:tcMar>
              <w:top w:w="0" w:type="dxa"/>
              <w:bottom w:w="0" w:type="dxa"/>
            </w:tcMar>
            <w:vAlign w:val="center"/>
          </w:tcPr>
          <w:p w14:paraId="08FDC394" w14:textId="77777777" w:rsidR="00AF6B6A" w:rsidRDefault="00000000">
            <w:pPr>
              <w:keepNext/>
              <w:keepLines/>
              <w:spacing w:after="0" w:line="240" w:lineRule="auto"/>
              <w:jc w:val="right"/>
            </w:pPr>
            <w:r>
              <w:rPr>
                <w:sz w:val="18"/>
              </w:rPr>
              <w:t>4.110.409,88</w:t>
            </w:r>
          </w:p>
        </w:tc>
        <w:tc>
          <w:tcPr>
            <w:tcW w:w="1860" w:type="dxa"/>
            <w:tcMar>
              <w:top w:w="0" w:type="dxa"/>
              <w:bottom w:w="0" w:type="dxa"/>
            </w:tcMar>
            <w:vAlign w:val="center"/>
          </w:tcPr>
          <w:p w14:paraId="0A44C642" w14:textId="77777777" w:rsidR="00AF6B6A" w:rsidRDefault="00000000">
            <w:pPr>
              <w:keepNext/>
              <w:keepLines/>
              <w:spacing w:after="0" w:line="240" w:lineRule="auto"/>
              <w:jc w:val="right"/>
            </w:pPr>
            <w:r>
              <w:rPr>
                <w:sz w:val="18"/>
              </w:rPr>
              <w:t>4.169.029,60</w:t>
            </w:r>
          </w:p>
        </w:tc>
        <w:tc>
          <w:tcPr>
            <w:tcW w:w="700" w:type="dxa"/>
            <w:tcMar>
              <w:top w:w="0" w:type="dxa"/>
              <w:bottom w:w="0" w:type="dxa"/>
            </w:tcMar>
            <w:vAlign w:val="center"/>
          </w:tcPr>
          <w:p w14:paraId="0B767C04" w14:textId="77777777" w:rsidR="00AF6B6A" w:rsidRDefault="00000000">
            <w:pPr>
              <w:keepNext/>
              <w:keepLines/>
              <w:spacing w:after="0" w:line="240" w:lineRule="auto"/>
              <w:jc w:val="right"/>
            </w:pPr>
            <w:r>
              <w:rPr>
                <w:sz w:val="18"/>
              </w:rPr>
              <w:t>101,4</w:t>
            </w:r>
          </w:p>
        </w:tc>
      </w:tr>
    </w:tbl>
    <w:p w14:paraId="654DDABA" w14:textId="77777777" w:rsidR="00AF6B6A" w:rsidRDefault="00AF6B6A">
      <w:pPr>
        <w:spacing w:after="0"/>
      </w:pPr>
    </w:p>
    <w:p w14:paraId="76CCFD50" w14:textId="77777777" w:rsidR="00AF6B6A" w:rsidRDefault="00000000">
      <w:pPr>
        <w:jc w:val="both"/>
      </w:pPr>
      <w:r>
        <w:t>Ispravak vrijednosti potraživanja - Grad Varaždin je temeljem članka 129. Pravilnika o proračunskom računovodstvu i računskom planu proveo propisani ispravak potraživanja u iznosu od 4.169.029,60 EUR. Ispravljena su potraživanja za prihode poslovanja koja se odnose na kašnjenje u naplati preko 2 godine. Što se tiče ispravka vrijednosti potraživanja za prihode od poreza za koje podatke u ime grada Varaždina vodi nadležna Porezna uprava, važno je napomenuti da je za ta potraživanja napravljen ispravak vrijednosti za sva potraživanja starija od godinu dana, budući da od Porezne uprave nismo mogli dobiti ispravne podatke kako bismo ispravno napravili ispravak vrijednosti potraživanja. </w:t>
      </w:r>
    </w:p>
    <w:p w14:paraId="311EEDE9" w14:textId="77777777" w:rsidR="00AF6B6A" w:rsidRDefault="00AF6B6A"/>
    <w:p w14:paraId="0A99C343" w14:textId="77777777" w:rsidR="00AF6B6A" w:rsidRDefault="00000000">
      <w:pPr>
        <w:keepNext/>
        <w:spacing w:line="240" w:lineRule="auto"/>
        <w:jc w:val="center"/>
      </w:pPr>
      <w:r>
        <w:rPr>
          <w:sz w:val="28"/>
        </w:rPr>
        <w:t>Bilješka 103.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2E7A31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E49CFC"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673981"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15C80E"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A891C9"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ED978C"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3DBB34B" w14:textId="77777777" w:rsidR="00AF6B6A" w:rsidRDefault="00000000">
            <w:pPr>
              <w:keepNext/>
              <w:keepLines/>
              <w:spacing w:after="0" w:line="240" w:lineRule="auto"/>
              <w:jc w:val="center"/>
            </w:pPr>
            <w:r>
              <w:rPr>
                <w:b/>
                <w:sz w:val="18"/>
              </w:rPr>
              <w:t>Indeks (%)</w:t>
            </w:r>
          </w:p>
        </w:tc>
      </w:tr>
      <w:tr w:rsidR="00AF6B6A" w14:paraId="5E65B27F" w14:textId="77777777">
        <w:tblPrEx>
          <w:tblCellMar>
            <w:top w:w="0" w:type="dxa"/>
            <w:bottom w:w="0" w:type="dxa"/>
          </w:tblCellMar>
        </w:tblPrEx>
        <w:trPr>
          <w:cantSplit/>
          <w:trHeight w:val="560"/>
        </w:trPr>
        <w:tc>
          <w:tcPr>
            <w:tcW w:w="700" w:type="dxa"/>
            <w:tcMar>
              <w:top w:w="0" w:type="dxa"/>
              <w:bottom w:w="0" w:type="dxa"/>
            </w:tcMar>
            <w:vAlign w:val="center"/>
          </w:tcPr>
          <w:p w14:paraId="20C9822C" w14:textId="77777777" w:rsidR="00AF6B6A" w:rsidRDefault="00000000">
            <w:pPr>
              <w:keepNext/>
              <w:keepLines/>
              <w:spacing w:after="0" w:line="240" w:lineRule="auto"/>
            </w:pPr>
            <w:r>
              <w:rPr>
                <w:sz w:val="18"/>
              </w:rPr>
              <w:t>19</w:t>
            </w:r>
          </w:p>
        </w:tc>
        <w:tc>
          <w:tcPr>
            <w:tcW w:w="3180" w:type="dxa"/>
            <w:tcMar>
              <w:top w:w="0" w:type="dxa"/>
              <w:bottom w:w="0" w:type="dxa"/>
            </w:tcMar>
            <w:vAlign w:val="center"/>
          </w:tcPr>
          <w:p w14:paraId="6D938BD4" w14:textId="77777777" w:rsidR="00AF6B6A" w:rsidRDefault="00000000">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14:paraId="5068268C" w14:textId="77777777" w:rsidR="00AF6B6A" w:rsidRDefault="00000000">
            <w:pPr>
              <w:keepNext/>
              <w:keepLines/>
              <w:spacing w:after="0" w:line="240" w:lineRule="auto"/>
            </w:pPr>
            <w:r>
              <w:rPr>
                <w:sz w:val="18"/>
              </w:rPr>
              <w:t>19</w:t>
            </w:r>
          </w:p>
        </w:tc>
        <w:tc>
          <w:tcPr>
            <w:tcW w:w="1860" w:type="dxa"/>
            <w:tcMar>
              <w:top w:w="0" w:type="dxa"/>
              <w:bottom w:w="0" w:type="dxa"/>
            </w:tcMar>
            <w:vAlign w:val="center"/>
          </w:tcPr>
          <w:p w14:paraId="469B9D4E" w14:textId="77777777" w:rsidR="00AF6B6A" w:rsidRDefault="00000000">
            <w:pPr>
              <w:keepNext/>
              <w:keepLines/>
              <w:spacing w:after="0" w:line="240" w:lineRule="auto"/>
              <w:jc w:val="right"/>
            </w:pPr>
            <w:r>
              <w:rPr>
                <w:sz w:val="18"/>
              </w:rPr>
              <w:t>96.743,35</w:t>
            </w:r>
          </w:p>
        </w:tc>
        <w:tc>
          <w:tcPr>
            <w:tcW w:w="1860" w:type="dxa"/>
            <w:tcMar>
              <w:top w:w="0" w:type="dxa"/>
              <w:bottom w:w="0" w:type="dxa"/>
            </w:tcMar>
            <w:vAlign w:val="center"/>
          </w:tcPr>
          <w:p w14:paraId="5AEE8802" w14:textId="77777777" w:rsidR="00AF6B6A" w:rsidRDefault="00000000">
            <w:pPr>
              <w:keepNext/>
              <w:keepLines/>
              <w:spacing w:after="0" w:line="240" w:lineRule="auto"/>
              <w:jc w:val="right"/>
            </w:pPr>
            <w:r>
              <w:rPr>
                <w:sz w:val="18"/>
              </w:rPr>
              <w:t>43.876,25</w:t>
            </w:r>
          </w:p>
        </w:tc>
        <w:tc>
          <w:tcPr>
            <w:tcW w:w="700" w:type="dxa"/>
            <w:tcMar>
              <w:top w:w="0" w:type="dxa"/>
              <w:bottom w:w="0" w:type="dxa"/>
            </w:tcMar>
            <w:vAlign w:val="center"/>
          </w:tcPr>
          <w:p w14:paraId="0BE4AA4B" w14:textId="77777777" w:rsidR="00AF6B6A" w:rsidRDefault="00000000">
            <w:pPr>
              <w:keepNext/>
              <w:keepLines/>
              <w:spacing w:after="0" w:line="240" w:lineRule="auto"/>
              <w:jc w:val="right"/>
            </w:pPr>
            <w:r>
              <w:rPr>
                <w:sz w:val="18"/>
              </w:rPr>
              <w:t>45,4</w:t>
            </w:r>
          </w:p>
        </w:tc>
      </w:tr>
    </w:tbl>
    <w:p w14:paraId="7E7D9543" w14:textId="77777777" w:rsidR="00AF6B6A" w:rsidRDefault="00AF6B6A">
      <w:pPr>
        <w:spacing w:after="0"/>
      </w:pPr>
    </w:p>
    <w:p w14:paraId="32D43775" w14:textId="77777777" w:rsidR="00AF6B6A" w:rsidRDefault="00000000">
      <w:pPr>
        <w:jc w:val="both"/>
      </w:pPr>
      <w:r>
        <w:lastRenderedPageBreak/>
        <w:t>Rashodi budućih razdoblja i nedospjela naplata prihoda (191) smanjeni su za 54,6%, a odnose se na sredstva prikupljena za dodjelu grobnih mjesta i prihode od prodaje napuštenih grobnica.</w:t>
      </w:r>
    </w:p>
    <w:p w14:paraId="126050C2" w14:textId="77777777" w:rsidR="00AF6B6A" w:rsidRDefault="00AF6B6A"/>
    <w:p w14:paraId="1406E05F" w14:textId="77777777" w:rsidR="00AF6B6A" w:rsidRDefault="00000000">
      <w:pPr>
        <w:keepNext/>
        <w:spacing w:line="240" w:lineRule="auto"/>
        <w:jc w:val="center"/>
      </w:pPr>
      <w:r>
        <w:rPr>
          <w:sz w:val="28"/>
        </w:rPr>
        <w:t>Bilješka 104.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6A0BCA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DA5156"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6F2C41"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01958D"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D31730"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2D8BE5"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A5C829F" w14:textId="77777777" w:rsidR="00AF6B6A" w:rsidRDefault="00000000">
            <w:pPr>
              <w:keepNext/>
              <w:keepLines/>
              <w:spacing w:after="0" w:line="240" w:lineRule="auto"/>
              <w:jc w:val="center"/>
            </w:pPr>
            <w:r>
              <w:rPr>
                <w:b/>
                <w:sz w:val="18"/>
              </w:rPr>
              <w:t>Indeks (%)</w:t>
            </w:r>
          </w:p>
        </w:tc>
      </w:tr>
      <w:tr w:rsidR="00AF6B6A" w14:paraId="3AFC9A00" w14:textId="77777777">
        <w:tblPrEx>
          <w:tblCellMar>
            <w:top w:w="0" w:type="dxa"/>
            <w:bottom w:w="0" w:type="dxa"/>
          </w:tblCellMar>
        </w:tblPrEx>
        <w:trPr>
          <w:cantSplit/>
          <w:trHeight w:val="560"/>
        </w:trPr>
        <w:tc>
          <w:tcPr>
            <w:tcW w:w="700" w:type="dxa"/>
            <w:tcMar>
              <w:top w:w="0" w:type="dxa"/>
              <w:bottom w:w="0" w:type="dxa"/>
            </w:tcMar>
            <w:vAlign w:val="center"/>
          </w:tcPr>
          <w:p w14:paraId="616862AA" w14:textId="77777777" w:rsidR="00AF6B6A" w:rsidRDefault="00000000">
            <w:pPr>
              <w:keepNext/>
              <w:keepLines/>
              <w:spacing w:after="0" w:line="240" w:lineRule="auto"/>
            </w:pPr>
            <w:r>
              <w:rPr>
                <w:sz w:val="18"/>
              </w:rPr>
              <w:t>2</w:t>
            </w:r>
          </w:p>
        </w:tc>
        <w:tc>
          <w:tcPr>
            <w:tcW w:w="3180" w:type="dxa"/>
            <w:tcMar>
              <w:top w:w="0" w:type="dxa"/>
              <w:bottom w:w="0" w:type="dxa"/>
            </w:tcMar>
            <w:vAlign w:val="center"/>
          </w:tcPr>
          <w:p w14:paraId="7C9E0319" w14:textId="77777777" w:rsidR="00AF6B6A" w:rsidRDefault="00000000">
            <w:pPr>
              <w:keepNext/>
              <w:keepLines/>
              <w:spacing w:after="0" w:line="240" w:lineRule="auto"/>
            </w:pPr>
            <w:r>
              <w:rPr>
                <w:sz w:val="18"/>
              </w:rPr>
              <w:t>Obveze (šifre 23+24+25+26+27+29)</w:t>
            </w:r>
          </w:p>
        </w:tc>
        <w:tc>
          <w:tcPr>
            <w:tcW w:w="700" w:type="dxa"/>
            <w:tcMar>
              <w:top w:w="0" w:type="dxa"/>
              <w:bottom w:w="0" w:type="dxa"/>
            </w:tcMar>
            <w:vAlign w:val="center"/>
          </w:tcPr>
          <w:p w14:paraId="54E9D323" w14:textId="77777777" w:rsidR="00AF6B6A" w:rsidRDefault="00000000">
            <w:pPr>
              <w:keepNext/>
              <w:keepLines/>
              <w:spacing w:after="0" w:line="240" w:lineRule="auto"/>
            </w:pPr>
            <w:r>
              <w:rPr>
                <w:sz w:val="18"/>
              </w:rPr>
              <w:t>2</w:t>
            </w:r>
          </w:p>
        </w:tc>
        <w:tc>
          <w:tcPr>
            <w:tcW w:w="1860" w:type="dxa"/>
            <w:tcMar>
              <w:top w:w="0" w:type="dxa"/>
              <w:bottom w:w="0" w:type="dxa"/>
            </w:tcMar>
            <w:vAlign w:val="center"/>
          </w:tcPr>
          <w:p w14:paraId="2955C5B3" w14:textId="77777777" w:rsidR="00AF6B6A" w:rsidRDefault="00000000">
            <w:pPr>
              <w:keepNext/>
              <w:keepLines/>
              <w:spacing w:after="0" w:line="240" w:lineRule="auto"/>
              <w:jc w:val="right"/>
            </w:pPr>
            <w:r>
              <w:rPr>
                <w:sz w:val="18"/>
              </w:rPr>
              <w:t>22.423.286,50</w:t>
            </w:r>
          </w:p>
        </w:tc>
        <w:tc>
          <w:tcPr>
            <w:tcW w:w="1860" w:type="dxa"/>
            <w:tcMar>
              <w:top w:w="0" w:type="dxa"/>
              <w:bottom w:w="0" w:type="dxa"/>
            </w:tcMar>
            <w:vAlign w:val="center"/>
          </w:tcPr>
          <w:p w14:paraId="5A8E31A7" w14:textId="77777777" w:rsidR="00AF6B6A" w:rsidRDefault="00000000">
            <w:pPr>
              <w:keepNext/>
              <w:keepLines/>
              <w:spacing w:after="0" w:line="240" w:lineRule="auto"/>
              <w:jc w:val="right"/>
            </w:pPr>
            <w:r>
              <w:rPr>
                <w:sz w:val="18"/>
              </w:rPr>
              <w:t>24.628.708,59</w:t>
            </w:r>
          </w:p>
        </w:tc>
        <w:tc>
          <w:tcPr>
            <w:tcW w:w="700" w:type="dxa"/>
            <w:tcMar>
              <w:top w:w="0" w:type="dxa"/>
              <w:bottom w:w="0" w:type="dxa"/>
            </w:tcMar>
            <w:vAlign w:val="center"/>
          </w:tcPr>
          <w:p w14:paraId="1C13B467" w14:textId="77777777" w:rsidR="00AF6B6A" w:rsidRDefault="00000000">
            <w:pPr>
              <w:keepNext/>
              <w:keepLines/>
              <w:spacing w:after="0" w:line="240" w:lineRule="auto"/>
              <w:jc w:val="right"/>
            </w:pPr>
            <w:r>
              <w:rPr>
                <w:sz w:val="18"/>
              </w:rPr>
              <w:t>109,8</w:t>
            </w:r>
          </w:p>
        </w:tc>
      </w:tr>
    </w:tbl>
    <w:p w14:paraId="07ACCFE4" w14:textId="77777777" w:rsidR="00AF6B6A" w:rsidRDefault="00AF6B6A">
      <w:pPr>
        <w:spacing w:after="0"/>
      </w:pPr>
    </w:p>
    <w:p w14:paraId="0BB001CC" w14:textId="77777777" w:rsidR="00AF6B6A" w:rsidRDefault="00000000">
      <w:r>
        <w:t>Ukupne obveze na dan 31.12.2025. godine iznose 24.628.708,59 EUR te nema značajne promjene u odnosu na prošlu godinu.</w:t>
      </w:r>
    </w:p>
    <w:p w14:paraId="7A41A9C6" w14:textId="77777777" w:rsidR="00AF6B6A" w:rsidRDefault="00AF6B6A"/>
    <w:p w14:paraId="441B19C0" w14:textId="77777777" w:rsidR="00AF6B6A" w:rsidRDefault="00000000">
      <w:pPr>
        <w:keepNext/>
        <w:spacing w:line="240" w:lineRule="auto"/>
        <w:jc w:val="center"/>
      </w:pPr>
      <w:r>
        <w:rPr>
          <w:sz w:val="28"/>
        </w:rPr>
        <w:t>Bilješka 105.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7BA641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B7A84D"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C06BBD"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F1FC5D"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6B594D"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54D8676"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2C2C25" w14:textId="77777777" w:rsidR="00AF6B6A" w:rsidRDefault="00000000">
            <w:pPr>
              <w:keepNext/>
              <w:keepLines/>
              <w:spacing w:after="0" w:line="240" w:lineRule="auto"/>
              <w:jc w:val="center"/>
            </w:pPr>
            <w:r>
              <w:rPr>
                <w:b/>
                <w:sz w:val="18"/>
              </w:rPr>
              <w:t>Indeks (%)</w:t>
            </w:r>
          </w:p>
        </w:tc>
      </w:tr>
      <w:tr w:rsidR="00AF6B6A" w14:paraId="4D5CF32B" w14:textId="77777777">
        <w:tblPrEx>
          <w:tblCellMar>
            <w:top w:w="0" w:type="dxa"/>
            <w:bottom w:w="0" w:type="dxa"/>
          </w:tblCellMar>
        </w:tblPrEx>
        <w:trPr>
          <w:cantSplit/>
          <w:trHeight w:val="560"/>
        </w:trPr>
        <w:tc>
          <w:tcPr>
            <w:tcW w:w="700" w:type="dxa"/>
            <w:tcMar>
              <w:top w:w="0" w:type="dxa"/>
              <w:bottom w:w="0" w:type="dxa"/>
            </w:tcMar>
            <w:vAlign w:val="center"/>
          </w:tcPr>
          <w:p w14:paraId="3431CF68" w14:textId="77777777" w:rsidR="00AF6B6A" w:rsidRDefault="00000000">
            <w:pPr>
              <w:keepNext/>
              <w:keepLines/>
              <w:spacing w:after="0" w:line="240" w:lineRule="auto"/>
            </w:pPr>
            <w:r>
              <w:rPr>
                <w:sz w:val="18"/>
              </w:rPr>
              <w:t>2342</w:t>
            </w:r>
          </w:p>
        </w:tc>
        <w:tc>
          <w:tcPr>
            <w:tcW w:w="3180" w:type="dxa"/>
            <w:tcMar>
              <w:top w:w="0" w:type="dxa"/>
              <w:bottom w:w="0" w:type="dxa"/>
            </w:tcMar>
            <w:vAlign w:val="center"/>
          </w:tcPr>
          <w:p w14:paraId="75EE888B" w14:textId="77777777" w:rsidR="00AF6B6A" w:rsidRDefault="00000000">
            <w:pPr>
              <w:keepNext/>
              <w:keepLines/>
              <w:spacing w:after="0" w:line="240" w:lineRule="auto"/>
            </w:pPr>
            <w:r>
              <w:rPr>
                <w:sz w:val="18"/>
              </w:rPr>
              <w:t>Obveze za kamate na primljene kredite i zajmove</w:t>
            </w:r>
          </w:p>
        </w:tc>
        <w:tc>
          <w:tcPr>
            <w:tcW w:w="700" w:type="dxa"/>
            <w:tcMar>
              <w:top w:w="0" w:type="dxa"/>
              <w:bottom w:w="0" w:type="dxa"/>
            </w:tcMar>
            <w:vAlign w:val="center"/>
          </w:tcPr>
          <w:p w14:paraId="5AF92C70" w14:textId="77777777" w:rsidR="00AF6B6A" w:rsidRDefault="00000000">
            <w:pPr>
              <w:keepNext/>
              <w:keepLines/>
              <w:spacing w:after="0" w:line="240" w:lineRule="auto"/>
            </w:pPr>
            <w:r>
              <w:rPr>
                <w:sz w:val="18"/>
              </w:rPr>
              <w:t>2342</w:t>
            </w:r>
          </w:p>
        </w:tc>
        <w:tc>
          <w:tcPr>
            <w:tcW w:w="1860" w:type="dxa"/>
            <w:tcMar>
              <w:top w:w="0" w:type="dxa"/>
              <w:bottom w:w="0" w:type="dxa"/>
            </w:tcMar>
            <w:vAlign w:val="center"/>
          </w:tcPr>
          <w:p w14:paraId="242AACEA" w14:textId="77777777" w:rsidR="00AF6B6A" w:rsidRDefault="00000000">
            <w:pPr>
              <w:keepNext/>
              <w:keepLines/>
              <w:spacing w:after="0" w:line="240" w:lineRule="auto"/>
              <w:jc w:val="right"/>
            </w:pPr>
            <w:r>
              <w:rPr>
                <w:sz w:val="18"/>
              </w:rPr>
              <w:t>327,86</w:t>
            </w:r>
          </w:p>
        </w:tc>
        <w:tc>
          <w:tcPr>
            <w:tcW w:w="1860" w:type="dxa"/>
            <w:tcMar>
              <w:top w:w="0" w:type="dxa"/>
              <w:bottom w:w="0" w:type="dxa"/>
            </w:tcMar>
            <w:vAlign w:val="center"/>
          </w:tcPr>
          <w:p w14:paraId="143859E3" w14:textId="77777777" w:rsidR="00AF6B6A" w:rsidRDefault="00000000">
            <w:pPr>
              <w:keepNext/>
              <w:keepLines/>
              <w:spacing w:after="0" w:line="240" w:lineRule="auto"/>
              <w:jc w:val="right"/>
            </w:pPr>
            <w:r>
              <w:rPr>
                <w:sz w:val="18"/>
              </w:rPr>
              <w:t>15.578,99</w:t>
            </w:r>
          </w:p>
        </w:tc>
        <w:tc>
          <w:tcPr>
            <w:tcW w:w="700" w:type="dxa"/>
            <w:tcMar>
              <w:top w:w="0" w:type="dxa"/>
              <w:bottom w:w="0" w:type="dxa"/>
            </w:tcMar>
            <w:vAlign w:val="center"/>
          </w:tcPr>
          <w:p w14:paraId="50DD1AE0" w14:textId="77777777" w:rsidR="00AF6B6A" w:rsidRDefault="00000000">
            <w:pPr>
              <w:keepNext/>
              <w:keepLines/>
              <w:spacing w:after="0" w:line="240" w:lineRule="auto"/>
              <w:jc w:val="right"/>
            </w:pPr>
            <w:r>
              <w:rPr>
                <w:sz w:val="18"/>
              </w:rPr>
              <w:t>4751,7</w:t>
            </w:r>
          </w:p>
        </w:tc>
      </w:tr>
    </w:tbl>
    <w:p w14:paraId="01E992C4" w14:textId="77777777" w:rsidR="00AF6B6A" w:rsidRDefault="00AF6B6A">
      <w:pPr>
        <w:spacing w:after="0"/>
      </w:pPr>
    </w:p>
    <w:p w14:paraId="78B00A05" w14:textId="77777777" w:rsidR="00AF6B6A" w:rsidRDefault="00000000">
      <w:pPr>
        <w:jc w:val="both"/>
      </w:pPr>
      <w:r>
        <w:t>Obveze za kamate na primljene kredite i zajmove (2342) povećane su u odnosu na prošlu godinu te se odnose na interekalarnu kamatu Hrvatske banke za obnovu i razvoj, po kreditu za "Modernizaciju sustava javne rasvjete na području grada Varaždina" te na kamate po kreditima Zagrebačke banke za energetsku obnovu I. i III. OŠ te Dječjeg vrtića - objekt Biškupec. Sve kamate su sa dospijećem u 2026. godini te su u navedenom roku i podmirene. </w:t>
      </w:r>
    </w:p>
    <w:p w14:paraId="147D5117" w14:textId="77777777" w:rsidR="00AF6B6A" w:rsidRDefault="00AF6B6A"/>
    <w:p w14:paraId="269C9FB9" w14:textId="77777777" w:rsidR="00AF6B6A" w:rsidRDefault="00000000">
      <w:pPr>
        <w:keepNext/>
        <w:spacing w:line="240" w:lineRule="auto"/>
        <w:jc w:val="center"/>
      </w:pPr>
      <w:r>
        <w:rPr>
          <w:sz w:val="28"/>
        </w:rPr>
        <w:t>Bilješka 106.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4C2022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A830CE"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653C4F"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C764A3"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6C950F"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9F441B"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04899D" w14:textId="77777777" w:rsidR="00AF6B6A" w:rsidRDefault="00000000">
            <w:pPr>
              <w:keepNext/>
              <w:keepLines/>
              <w:spacing w:after="0" w:line="240" w:lineRule="auto"/>
              <w:jc w:val="center"/>
            </w:pPr>
            <w:r>
              <w:rPr>
                <w:b/>
                <w:sz w:val="18"/>
              </w:rPr>
              <w:t>Indeks (%)</w:t>
            </w:r>
          </w:p>
        </w:tc>
      </w:tr>
      <w:tr w:rsidR="00AF6B6A" w14:paraId="3BEDAD4A" w14:textId="77777777">
        <w:tblPrEx>
          <w:tblCellMar>
            <w:top w:w="0" w:type="dxa"/>
            <w:bottom w:w="0" w:type="dxa"/>
          </w:tblCellMar>
        </w:tblPrEx>
        <w:trPr>
          <w:cantSplit/>
          <w:trHeight w:val="560"/>
        </w:trPr>
        <w:tc>
          <w:tcPr>
            <w:tcW w:w="700" w:type="dxa"/>
            <w:tcMar>
              <w:top w:w="0" w:type="dxa"/>
              <w:bottom w:w="0" w:type="dxa"/>
            </w:tcMar>
            <w:vAlign w:val="center"/>
          </w:tcPr>
          <w:p w14:paraId="07DE399D" w14:textId="77777777" w:rsidR="00AF6B6A" w:rsidRDefault="00000000">
            <w:pPr>
              <w:keepNext/>
              <w:keepLines/>
              <w:spacing w:after="0" w:line="240" w:lineRule="auto"/>
            </w:pPr>
            <w:r>
              <w:rPr>
                <w:sz w:val="18"/>
              </w:rPr>
              <w:t>238</w:t>
            </w:r>
          </w:p>
        </w:tc>
        <w:tc>
          <w:tcPr>
            <w:tcW w:w="3180" w:type="dxa"/>
            <w:tcMar>
              <w:top w:w="0" w:type="dxa"/>
              <w:bottom w:w="0" w:type="dxa"/>
            </w:tcMar>
            <w:vAlign w:val="center"/>
          </w:tcPr>
          <w:p w14:paraId="7354E073" w14:textId="77777777" w:rsidR="00AF6B6A" w:rsidRDefault="00000000">
            <w:pPr>
              <w:keepNext/>
              <w:keepLines/>
              <w:spacing w:after="0" w:line="240" w:lineRule="auto"/>
            </w:pPr>
            <w:r>
              <w:rPr>
                <w:sz w:val="18"/>
              </w:rPr>
              <w:t>Obveze za donacije, kazne, naknade šteta i kapitalne pomoći</w:t>
            </w:r>
          </w:p>
        </w:tc>
        <w:tc>
          <w:tcPr>
            <w:tcW w:w="700" w:type="dxa"/>
            <w:tcMar>
              <w:top w:w="0" w:type="dxa"/>
              <w:bottom w:w="0" w:type="dxa"/>
            </w:tcMar>
            <w:vAlign w:val="center"/>
          </w:tcPr>
          <w:p w14:paraId="1A338042" w14:textId="77777777" w:rsidR="00AF6B6A" w:rsidRDefault="00000000">
            <w:pPr>
              <w:keepNext/>
              <w:keepLines/>
              <w:spacing w:after="0" w:line="240" w:lineRule="auto"/>
            </w:pPr>
            <w:r>
              <w:rPr>
                <w:sz w:val="18"/>
              </w:rPr>
              <w:t>238</w:t>
            </w:r>
          </w:p>
        </w:tc>
        <w:tc>
          <w:tcPr>
            <w:tcW w:w="1860" w:type="dxa"/>
            <w:tcMar>
              <w:top w:w="0" w:type="dxa"/>
              <w:bottom w:w="0" w:type="dxa"/>
            </w:tcMar>
            <w:vAlign w:val="center"/>
          </w:tcPr>
          <w:p w14:paraId="44CC2DC8" w14:textId="77777777" w:rsidR="00AF6B6A" w:rsidRDefault="00000000">
            <w:pPr>
              <w:keepNext/>
              <w:keepLines/>
              <w:spacing w:after="0" w:line="240" w:lineRule="auto"/>
              <w:jc w:val="right"/>
            </w:pPr>
            <w:r>
              <w:rPr>
                <w:sz w:val="18"/>
              </w:rPr>
              <w:t>204.785,50</w:t>
            </w:r>
          </w:p>
        </w:tc>
        <w:tc>
          <w:tcPr>
            <w:tcW w:w="1860" w:type="dxa"/>
            <w:tcMar>
              <w:top w:w="0" w:type="dxa"/>
              <w:bottom w:w="0" w:type="dxa"/>
            </w:tcMar>
            <w:vAlign w:val="center"/>
          </w:tcPr>
          <w:p w14:paraId="68052845" w14:textId="77777777" w:rsidR="00AF6B6A" w:rsidRDefault="00000000">
            <w:pPr>
              <w:keepNext/>
              <w:keepLines/>
              <w:spacing w:after="0" w:line="240" w:lineRule="auto"/>
              <w:jc w:val="right"/>
            </w:pPr>
            <w:r>
              <w:rPr>
                <w:sz w:val="18"/>
              </w:rPr>
              <w:t>724.975,26</w:t>
            </w:r>
          </w:p>
        </w:tc>
        <w:tc>
          <w:tcPr>
            <w:tcW w:w="700" w:type="dxa"/>
            <w:tcMar>
              <w:top w:w="0" w:type="dxa"/>
              <w:bottom w:w="0" w:type="dxa"/>
            </w:tcMar>
            <w:vAlign w:val="center"/>
          </w:tcPr>
          <w:p w14:paraId="28E6DE5F" w14:textId="77777777" w:rsidR="00AF6B6A" w:rsidRDefault="00000000">
            <w:pPr>
              <w:keepNext/>
              <w:keepLines/>
              <w:spacing w:after="0" w:line="240" w:lineRule="auto"/>
              <w:jc w:val="right"/>
            </w:pPr>
            <w:r>
              <w:rPr>
                <w:sz w:val="18"/>
              </w:rPr>
              <w:t>354,0</w:t>
            </w:r>
          </w:p>
        </w:tc>
      </w:tr>
    </w:tbl>
    <w:p w14:paraId="281DD45D" w14:textId="77777777" w:rsidR="00AF6B6A" w:rsidRDefault="00AF6B6A">
      <w:pPr>
        <w:spacing w:after="0"/>
      </w:pPr>
    </w:p>
    <w:p w14:paraId="1B68BD84" w14:textId="77777777" w:rsidR="00AF6B6A" w:rsidRDefault="00000000">
      <w:pPr>
        <w:jc w:val="both"/>
      </w:pPr>
      <w:r>
        <w:t>Obveze za donacije, kazne, naknade šteta i kapitalne pomoći (238) iznose 724.975,26 EUR te se odnose na konto Obveze za tekuće donacije u novcu u iznosu od 447.975,26 EUR te Obveze za kapitalne pomoći u iznosu od 277.000,00 EUR. Obveze za tekuće donacije u novcu najvećim dijelom odnosi se donacije dječjim vrtićima za prosinac 2025. godine te donacije Turističkoj zajednici grada Varaždina. Obveze za kapitalne donacije odnose se na kapitalne donacije Gradskoj tržnici u iznosu od 277.000,00 eura radi rekonstrukcije i sanacije objekta Dječjeg odmarališta na Rabu. </w:t>
      </w:r>
    </w:p>
    <w:p w14:paraId="1C3B409B" w14:textId="77777777" w:rsidR="00AF6B6A" w:rsidRDefault="00AF6B6A"/>
    <w:p w14:paraId="282A3102" w14:textId="77777777" w:rsidR="00AF6B6A" w:rsidRDefault="00000000">
      <w:pPr>
        <w:keepNext/>
        <w:spacing w:line="240" w:lineRule="auto"/>
        <w:jc w:val="center"/>
      </w:pPr>
      <w:r>
        <w:rPr>
          <w:sz w:val="28"/>
        </w:rPr>
        <w:lastRenderedPageBreak/>
        <w:t>Bilješka 107.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AABE1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A6E421"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8AADFE"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41A13F"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D3BBA9"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D33110"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F0E1796" w14:textId="77777777" w:rsidR="00AF6B6A" w:rsidRDefault="00000000">
            <w:pPr>
              <w:keepNext/>
              <w:keepLines/>
              <w:spacing w:after="0" w:line="240" w:lineRule="auto"/>
              <w:jc w:val="center"/>
            </w:pPr>
            <w:r>
              <w:rPr>
                <w:b/>
                <w:sz w:val="18"/>
              </w:rPr>
              <w:t>Indeks (%)</w:t>
            </w:r>
          </w:p>
        </w:tc>
      </w:tr>
      <w:tr w:rsidR="00AF6B6A" w14:paraId="37E40023" w14:textId="77777777">
        <w:tblPrEx>
          <w:tblCellMar>
            <w:top w:w="0" w:type="dxa"/>
            <w:bottom w:w="0" w:type="dxa"/>
          </w:tblCellMar>
        </w:tblPrEx>
        <w:trPr>
          <w:cantSplit/>
          <w:trHeight w:val="560"/>
        </w:trPr>
        <w:tc>
          <w:tcPr>
            <w:tcW w:w="700" w:type="dxa"/>
            <w:tcMar>
              <w:top w:w="0" w:type="dxa"/>
              <w:bottom w:w="0" w:type="dxa"/>
            </w:tcMar>
            <w:vAlign w:val="center"/>
          </w:tcPr>
          <w:p w14:paraId="0EF52B09" w14:textId="77777777" w:rsidR="00AF6B6A" w:rsidRDefault="00000000">
            <w:pPr>
              <w:keepNext/>
              <w:keepLines/>
              <w:spacing w:after="0" w:line="240" w:lineRule="auto"/>
            </w:pPr>
            <w:r>
              <w:rPr>
                <w:sz w:val="18"/>
              </w:rPr>
              <w:t>245</w:t>
            </w:r>
          </w:p>
        </w:tc>
        <w:tc>
          <w:tcPr>
            <w:tcW w:w="3180" w:type="dxa"/>
            <w:tcMar>
              <w:top w:w="0" w:type="dxa"/>
              <w:bottom w:w="0" w:type="dxa"/>
            </w:tcMar>
            <w:vAlign w:val="center"/>
          </w:tcPr>
          <w:p w14:paraId="6E80B077" w14:textId="77777777" w:rsidR="00AF6B6A" w:rsidRDefault="00000000">
            <w:pPr>
              <w:keepNext/>
              <w:keepLines/>
              <w:spacing w:after="0" w:line="240" w:lineRule="auto"/>
            </w:pPr>
            <w:r>
              <w:rPr>
                <w:sz w:val="18"/>
              </w:rPr>
              <w:t>Obveze za dodatna ulaganja na nefinancijskoj imovini</w:t>
            </w:r>
          </w:p>
        </w:tc>
        <w:tc>
          <w:tcPr>
            <w:tcW w:w="700" w:type="dxa"/>
            <w:tcMar>
              <w:top w:w="0" w:type="dxa"/>
              <w:bottom w:w="0" w:type="dxa"/>
            </w:tcMar>
            <w:vAlign w:val="center"/>
          </w:tcPr>
          <w:p w14:paraId="59FEA7E9" w14:textId="77777777" w:rsidR="00AF6B6A" w:rsidRDefault="00000000">
            <w:pPr>
              <w:keepNext/>
              <w:keepLines/>
              <w:spacing w:after="0" w:line="240" w:lineRule="auto"/>
            </w:pPr>
            <w:r>
              <w:rPr>
                <w:sz w:val="18"/>
              </w:rPr>
              <w:t>245</w:t>
            </w:r>
          </w:p>
        </w:tc>
        <w:tc>
          <w:tcPr>
            <w:tcW w:w="1860" w:type="dxa"/>
            <w:tcMar>
              <w:top w:w="0" w:type="dxa"/>
              <w:bottom w:w="0" w:type="dxa"/>
            </w:tcMar>
            <w:vAlign w:val="center"/>
          </w:tcPr>
          <w:p w14:paraId="197C7807" w14:textId="77777777" w:rsidR="00AF6B6A" w:rsidRDefault="00000000">
            <w:pPr>
              <w:keepNext/>
              <w:keepLines/>
              <w:spacing w:after="0" w:line="240" w:lineRule="auto"/>
              <w:jc w:val="right"/>
            </w:pPr>
            <w:r>
              <w:rPr>
                <w:sz w:val="18"/>
              </w:rPr>
              <w:t>35.576,69</w:t>
            </w:r>
          </w:p>
        </w:tc>
        <w:tc>
          <w:tcPr>
            <w:tcW w:w="1860" w:type="dxa"/>
            <w:tcMar>
              <w:top w:w="0" w:type="dxa"/>
              <w:bottom w:w="0" w:type="dxa"/>
            </w:tcMar>
            <w:vAlign w:val="center"/>
          </w:tcPr>
          <w:p w14:paraId="57156AF9" w14:textId="77777777" w:rsidR="00AF6B6A" w:rsidRDefault="00000000">
            <w:pPr>
              <w:keepNext/>
              <w:keepLines/>
              <w:spacing w:after="0" w:line="240" w:lineRule="auto"/>
              <w:jc w:val="right"/>
            </w:pPr>
            <w:r>
              <w:rPr>
                <w:sz w:val="18"/>
              </w:rPr>
              <w:t>113.958,90</w:t>
            </w:r>
          </w:p>
        </w:tc>
        <w:tc>
          <w:tcPr>
            <w:tcW w:w="700" w:type="dxa"/>
            <w:tcMar>
              <w:top w:w="0" w:type="dxa"/>
              <w:bottom w:w="0" w:type="dxa"/>
            </w:tcMar>
            <w:vAlign w:val="center"/>
          </w:tcPr>
          <w:p w14:paraId="6BB5C8C4" w14:textId="77777777" w:rsidR="00AF6B6A" w:rsidRDefault="00000000">
            <w:pPr>
              <w:keepNext/>
              <w:keepLines/>
              <w:spacing w:after="0" w:line="240" w:lineRule="auto"/>
              <w:jc w:val="right"/>
            </w:pPr>
            <w:r>
              <w:rPr>
                <w:sz w:val="18"/>
              </w:rPr>
              <w:t>320,3</w:t>
            </w:r>
          </w:p>
        </w:tc>
      </w:tr>
    </w:tbl>
    <w:p w14:paraId="40E61F26" w14:textId="77777777" w:rsidR="00AF6B6A" w:rsidRDefault="00AF6B6A">
      <w:pPr>
        <w:spacing w:after="0"/>
      </w:pPr>
    </w:p>
    <w:p w14:paraId="5745C5E0" w14:textId="77777777" w:rsidR="00AF6B6A" w:rsidRDefault="00000000">
      <w:pPr>
        <w:jc w:val="both"/>
      </w:pPr>
      <w:r>
        <w:t>Obveze za dodatna ulaganja na nefinancijskoj imovini odnose se na račune za rekonstrukciju sanitarnih čvorova, sanaciju ogradnog zida vile Oršić te izradu projektne dokumentacije skladišne hale za potrebe Grada i gradskih ustanova. Obveze koje su u prekoračenju više od 360 dana, objašnjene su u sklopu bilješki Obvezi.</w:t>
      </w:r>
    </w:p>
    <w:p w14:paraId="2AC510BF" w14:textId="77777777" w:rsidR="00AF6B6A" w:rsidRDefault="00AF6B6A"/>
    <w:p w14:paraId="65203837" w14:textId="77777777" w:rsidR="00AF6B6A" w:rsidRDefault="00000000">
      <w:pPr>
        <w:keepNext/>
        <w:spacing w:line="240" w:lineRule="auto"/>
        <w:jc w:val="center"/>
      </w:pPr>
      <w:r>
        <w:rPr>
          <w:sz w:val="28"/>
        </w:rPr>
        <w:t>Bilješka 108.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7448CB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19851A"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13F83C"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26DBB5"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7744B"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C503EF"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734EBD9" w14:textId="77777777" w:rsidR="00AF6B6A" w:rsidRDefault="00000000">
            <w:pPr>
              <w:keepNext/>
              <w:keepLines/>
              <w:spacing w:after="0" w:line="240" w:lineRule="auto"/>
              <w:jc w:val="center"/>
            </w:pPr>
            <w:r>
              <w:rPr>
                <w:b/>
                <w:sz w:val="18"/>
              </w:rPr>
              <w:t>Indeks (%)</w:t>
            </w:r>
          </w:p>
        </w:tc>
      </w:tr>
      <w:tr w:rsidR="00AF6B6A" w14:paraId="1041EC91" w14:textId="77777777">
        <w:tblPrEx>
          <w:tblCellMar>
            <w:top w:w="0" w:type="dxa"/>
            <w:bottom w:w="0" w:type="dxa"/>
          </w:tblCellMar>
        </w:tblPrEx>
        <w:trPr>
          <w:cantSplit/>
          <w:trHeight w:val="560"/>
        </w:trPr>
        <w:tc>
          <w:tcPr>
            <w:tcW w:w="700" w:type="dxa"/>
            <w:tcMar>
              <w:top w:w="0" w:type="dxa"/>
              <w:bottom w:w="0" w:type="dxa"/>
            </w:tcMar>
            <w:vAlign w:val="center"/>
          </w:tcPr>
          <w:p w14:paraId="27A6A9E1" w14:textId="77777777" w:rsidR="00AF6B6A" w:rsidRDefault="00000000">
            <w:pPr>
              <w:keepNext/>
              <w:keepLines/>
              <w:spacing w:after="0" w:line="240" w:lineRule="auto"/>
            </w:pPr>
            <w:r>
              <w:rPr>
                <w:sz w:val="18"/>
              </w:rPr>
              <w:t>2541</w:t>
            </w:r>
          </w:p>
        </w:tc>
        <w:tc>
          <w:tcPr>
            <w:tcW w:w="3180" w:type="dxa"/>
            <w:tcMar>
              <w:top w:w="0" w:type="dxa"/>
              <w:bottom w:w="0" w:type="dxa"/>
            </w:tcMar>
            <w:vAlign w:val="center"/>
          </w:tcPr>
          <w:p w14:paraId="3FCFE964" w14:textId="77777777" w:rsidR="00AF6B6A" w:rsidRDefault="00000000">
            <w:pPr>
              <w:keepNext/>
              <w:keepLines/>
              <w:spacing w:after="0" w:line="240" w:lineRule="auto"/>
            </w:pPr>
            <w:r>
              <w:rPr>
                <w:sz w:val="18"/>
              </w:rPr>
              <w:t>Obveze za obveznice</w:t>
            </w:r>
          </w:p>
        </w:tc>
        <w:tc>
          <w:tcPr>
            <w:tcW w:w="700" w:type="dxa"/>
            <w:tcMar>
              <w:top w:w="0" w:type="dxa"/>
              <w:bottom w:w="0" w:type="dxa"/>
            </w:tcMar>
            <w:vAlign w:val="center"/>
          </w:tcPr>
          <w:p w14:paraId="26397433" w14:textId="77777777" w:rsidR="00AF6B6A" w:rsidRDefault="00000000">
            <w:pPr>
              <w:keepNext/>
              <w:keepLines/>
              <w:spacing w:after="0" w:line="240" w:lineRule="auto"/>
            </w:pPr>
            <w:r>
              <w:rPr>
                <w:sz w:val="18"/>
              </w:rPr>
              <w:t>2541</w:t>
            </w:r>
          </w:p>
        </w:tc>
        <w:tc>
          <w:tcPr>
            <w:tcW w:w="1860" w:type="dxa"/>
            <w:tcMar>
              <w:top w:w="0" w:type="dxa"/>
              <w:bottom w:w="0" w:type="dxa"/>
            </w:tcMar>
            <w:vAlign w:val="center"/>
          </w:tcPr>
          <w:p w14:paraId="052B9E53" w14:textId="77777777" w:rsidR="00AF6B6A" w:rsidRDefault="00000000">
            <w:pPr>
              <w:keepNext/>
              <w:keepLines/>
              <w:spacing w:after="0" w:line="240" w:lineRule="auto"/>
              <w:jc w:val="right"/>
            </w:pPr>
            <w:r>
              <w:rPr>
                <w:sz w:val="18"/>
              </w:rPr>
              <w:t>8.892.428,17</w:t>
            </w:r>
          </w:p>
        </w:tc>
        <w:tc>
          <w:tcPr>
            <w:tcW w:w="1860" w:type="dxa"/>
            <w:tcMar>
              <w:top w:w="0" w:type="dxa"/>
              <w:bottom w:w="0" w:type="dxa"/>
            </w:tcMar>
            <w:vAlign w:val="center"/>
          </w:tcPr>
          <w:p w14:paraId="756588CD" w14:textId="77777777" w:rsidR="00AF6B6A" w:rsidRDefault="00000000">
            <w:pPr>
              <w:keepNext/>
              <w:keepLines/>
              <w:spacing w:after="0" w:line="240" w:lineRule="auto"/>
              <w:jc w:val="right"/>
            </w:pPr>
            <w:r>
              <w:rPr>
                <w:sz w:val="18"/>
              </w:rPr>
              <w:t>8.892.428,17</w:t>
            </w:r>
          </w:p>
        </w:tc>
        <w:tc>
          <w:tcPr>
            <w:tcW w:w="700" w:type="dxa"/>
            <w:tcMar>
              <w:top w:w="0" w:type="dxa"/>
              <w:bottom w:w="0" w:type="dxa"/>
            </w:tcMar>
            <w:vAlign w:val="center"/>
          </w:tcPr>
          <w:p w14:paraId="533E1895" w14:textId="77777777" w:rsidR="00AF6B6A" w:rsidRDefault="00000000">
            <w:pPr>
              <w:keepNext/>
              <w:keepLines/>
              <w:spacing w:after="0" w:line="240" w:lineRule="auto"/>
              <w:jc w:val="right"/>
            </w:pPr>
            <w:r>
              <w:rPr>
                <w:sz w:val="18"/>
              </w:rPr>
              <w:t>100</w:t>
            </w:r>
          </w:p>
        </w:tc>
      </w:tr>
    </w:tbl>
    <w:p w14:paraId="4C1D2162" w14:textId="77777777" w:rsidR="00AF6B6A" w:rsidRDefault="00AF6B6A">
      <w:pPr>
        <w:spacing w:after="0"/>
      </w:pPr>
    </w:p>
    <w:p w14:paraId="14969AF9" w14:textId="77777777" w:rsidR="00AF6B6A" w:rsidRDefault="00000000">
      <w:pPr>
        <w:jc w:val="both"/>
      </w:pPr>
      <w:r>
        <w:t>Obveze za obveznice (2541) i dalje iznose 8.892.428,17 EUR jer još nije počela njihova otplata, ona započinje u 2026. godini.</w:t>
      </w:r>
    </w:p>
    <w:p w14:paraId="70C40B49" w14:textId="77777777" w:rsidR="00AF6B6A" w:rsidRDefault="00AF6B6A"/>
    <w:p w14:paraId="2BF1DEA4" w14:textId="77777777" w:rsidR="00AF6B6A" w:rsidRDefault="00000000">
      <w:pPr>
        <w:keepNext/>
        <w:spacing w:line="240" w:lineRule="auto"/>
        <w:jc w:val="center"/>
      </w:pPr>
      <w:r>
        <w:rPr>
          <w:sz w:val="28"/>
        </w:rPr>
        <w:t>Bilješka 109.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26302E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F6FB70"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18EAEE"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F96E05"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FEB38C"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3AD3E9"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E04126" w14:textId="77777777" w:rsidR="00AF6B6A" w:rsidRDefault="00000000">
            <w:pPr>
              <w:keepNext/>
              <w:keepLines/>
              <w:spacing w:after="0" w:line="240" w:lineRule="auto"/>
              <w:jc w:val="center"/>
            </w:pPr>
            <w:r>
              <w:rPr>
                <w:b/>
                <w:sz w:val="18"/>
              </w:rPr>
              <w:t>Indeks (%)</w:t>
            </w:r>
          </w:p>
        </w:tc>
      </w:tr>
      <w:tr w:rsidR="00AF6B6A" w14:paraId="113A3B88" w14:textId="77777777">
        <w:tblPrEx>
          <w:tblCellMar>
            <w:top w:w="0" w:type="dxa"/>
            <w:bottom w:w="0" w:type="dxa"/>
          </w:tblCellMar>
        </w:tblPrEx>
        <w:trPr>
          <w:cantSplit/>
          <w:trHeight w:val="560"/>
        </w:trPr>
        <w:tc>
          <w:tcPr>
            <w:tcW w:w="700" w:type="dxa"/>
            <w:tcMar>
              <w:top w:w="0" w:type="dxa"/>
              <w:bottom w:w="0" w:type="dxa"/>
            </w:tcMar>
            <w:vAlign w:val="center"/>
          </w:tcPr>
          <w:p w14:paraId="217FC903" w14:textId="77777777" w:rsidR="00AF6B6A" w:rsidRDefault="00000000">
            <w:pPr>
              <w:keepNext/>
              <w:keepLines/>
              <w:spacing w:after="0" w:line="240" w:lineRule="auto"/>
            </w:pPr>
            <w:r>
              <w:rPr>
                <w:sz w:val="18"/>
              </w:rPr>
              <w:t>2643</w:t>
            </w:r>
          </w:p>
        </w:tc>
        <w:tc>
          <w:tcPr>
            <w:tcW w:w="3180" w:type="dxa"/>
            <w:tcMar>
              <w:top w:w="0" w:type="dxa"/>
              <w:bottom w:w="0" w:type="dxa"/>
            </w:tcMar>
            <w:vAlign w:val="center"/>
          </w:tcPr>
          <w:p w14:paraId="3E4F3276" w14:textId="77777777" w:rsidR="00AF6B6A" w:rsidRDefault="00000000">
            <w:pPr>
              <w:keepNext/>
              <w:keepLines/>
              <w:spacing w:after="0" w:line="240" w:lineRule="auto"/>
            </w:pPr>
            <w:r>
              <w:rPr>
                <w:sz w:val="18"/>
              </w:rPr>
              <w:t>Obveze za kredite od tuzemnih kreditnih institucija izvan javnog sektora</w:t>
            </w:r>
          </w:p>
        </w:tc>
        <w:tc>
          <w:tcPr>
            <w:tcW w:w="700" w:type="dxa"/>
            <w:tcMar>
              <w:top w:w="0" w:type="dxa"/>
              <w:bottom w:w="0" w:type="dxa"/>
            </w:tcMar>
            <w:vAlign w:val="center"/>
          </w:tcPr>
          <w:p w14:paraId="7F4F9F72" w14:textId="77777777" w:rsidR="00AF6B6A" w:rsidRDefault="00000000">
            <w:pPr>
              <w:keepNext/>
              <w:keepLines/>
              <w:spacing w:after="0" w:line="240" w:lineRule="auto"/>
            </w:pPr>
            <w:r>
              <w:rPr>
                <w:sz w:val="18"/>
              </w:rPr>
              <w:t>2643</w:t>
            </w:r>
          </w:p>
        </w:tc>
        <w:tc>
          <w:tcPr>
            <w:tcW w:w="1860" w:type="dxa"/>
            <w:tcMar>
              <w:top w:w="0" w:type="dxa"/>
              <w:bottom w:w="0" w:type="dxa"/>
            </w:tcMar>
            <w:vAlign w:val="center"/>
          </w:tcPr>
          <w:p w14:paraId="2CA4DCAA" w14:textId="77777777" w:rsidR="00AF6B6A" w:rsidRDefault="00000000">
            <w:pPr>
              <w:keepNext/>
              <w:keepLines/>
              <w:spacing w:after="0" w:line="240" w:lineRule="auto"/>
              <w:jc w:val="right"/>
            </w:pPr>
            <w:r>
              <w:rPr>
                <w:sz w:val="18"/>
              </w:rPr>
              <w:t>3.414.434,53</w:t>
            </w:r>
          </w:p>
        </w:tc>
        <w:tc>
          <w:tcPr>
            <w:tcW w:w="1860" w:type="dxa"/>
            <w:tcMar>
              <w:top w:w="0" w:type="dxa"/>
              <w:bottom w:w="0" w:type="dxa"/>
            </w:tcMar>
            <w:vAlign w:val="center"/>
          </w:tcPr>
          <w:p w14:paraId="4BB23029" w14:textId="77777777" w:rsidR="00AF6B6A" w:rsidRDefault="00000000">
            <w:pPr>
              <w:keepNext/>
              <w:keepLines/>
              <w:spacing w:after="0" w:line="240" w:lineRule="auto"/>
              <w:jc w:val="right"/>
            </w:pPr>
            <w:r>
              <w:rPr>
                <w:sz w:val="18"/>
              </w:rPr>
              <w:t>7.284.630,56</w:t>
            </w:r>
          </w:p>
        </w:tc>
        <w:tc>
          <w:tcPr>
            <w:tcW w:w="700" w:type="dxa"/>
            <w:tcMar>
              <w:top w:w="0" w:type="dxa"/>
              <w:bottom w:w="0" w:type="dxa"/>
            </w:tcMar>
            <w:vAlign w:val="center"/>
          </w:tcPr>
          <w:p w14:paraId="0DEE7CE6" w14:textId="77777777" w:rsidR="00AF6B6A" w:rsidRDefault="00000000">
            <w:pPr>
              <w:keepNext/>
              <w:keepLines/>
              <w:spacing w:after="0" w:line="240" w:lineRule="auto"/>
              <w:jc w:val="right"/>
            </w:pPr>
            <w:r>
              <w:rPr>
                <w:sz w:val="18"/>
              </w:rPr>
              <w:t>213,3</w:t>
            </w:r>
          </w:p>
        </w:tc>
      </w:tr>
    </w:tbl>
    <w:p w14:paraId="020A77D3" w14:textId="77777777" w:rsidR="00AF6B6A" w:rsidRDefault="00AF6B6A">
      <w:pPr>
        <w:spacing w:after="0"/>
      </w:pPr>
    </w:p>
    <w:p w14:paraId="66A37B98" w14:textId="77777777" w:rsidR="00AF6B6A" w:rsidRDefault="00000000">
      <w:r>
        <w:t>Stanje obveza po kreditima na dan 31.12.2025.godine:</w:t>
      </w:r>
    </w:p>
    <w:p w14:paraId="28C95AED" w14:textId="77777777" w:rsidR="00AF6B6A" w:rsidRDefault="00000000">
      <w:r>
        <w:t>Erste&amp;Steiermarkische bank d.d.-refinanciranje:         2.069.183,92 EUR</w:t>
      </w:r>
    </w:p>
    <w:p w14:paraId="4FB2055F" w14:textId="77777777" w:rsidR="00AF6B6A" w:rsidRDefault="00000000">
      <w:r>
        <w:t>HBOR-energetska obnova II.OŠ:                                     475.510,34 EUR</w:t>
      </w:r>
    </w:p>
    <w:p w14:paraId="7B84EE17" w14:textId="77777777" w:rsidR="00AF6B6A" w:rsidRDefault="00000000">
      <w:r>
        <w:t>HBOR-energetska obnova V.OŠ:                                    329.426,47 EUR</w:t>
      </w:r>
    </w:p>
    <w:p w14:paraId="35AEEDBB" w14:textId="77777777" w:rsidR="00AF6B6A" w:rsidRDefault="00000000">
      <w:r>
        <w:t>HBOR - Led rasvjeta:                                                    3.726.385,26 EUR</w:t>
      </w:r>
    </w:p>
    <w:p w14:paraId="12E2DEB3" w14:textId="77777777" w:rsidR="00AF6B6A" w:rsidRDefault="00000000">
      <w:r>
        <w:t>Zagrebačka banka-energetska obnova I. OŠ:                 469.626,26 EUR</w:t>
      </w:r>
    </w:p>
    <w:p w14:paraId="2486429C" w14:textId="77777777" w:rsidR="00AF6B6A" w:rsidRDefault="00000000">
      <w:r>
        <w:t>Zagrebačka banka-energetska obnova III. OŠ:               151.336,64 EUR</w:t>
      </w:r>
    </w:p>
    <w:p w14:paraId="4DB61C62" w14:textId="77777777" w:rsidR="00AF6B6A" w:rsidRDefault="00000000">
      <w:r>
        <w:t>Zagrebačka banka-energetska obnova DV Biškupec:     63.161,67 EUR.</w:t>
      </w:r>
    </w:p>
    <w:p w14:paraId="5E6BC0E7" w14:textId="77777777" w:rsidR="00AF6B6A" w:rsidRDefault="00000000">
      <w:r>
        <w:t> </w:t>
      </w:r>
    </w:p>
    <w:p w14:paraId="66D44DEF" w14:textId="77777777" w:rsidR="00AF6B6A" w:rsidRDefault="00000000">
      <w:r>
        <w:t> </w:t>
      </w:r>
    </w:p>
    <w:p w14:paraId="79BEB8DD" w14:textId="77777777" w:rsidR="00AF6B6A" w:rsidRDefault="00AF6B6A"/>
    <w:p w14:paraId="24C6FDD5" w14:textId="77777777" w:rsidR="00AF6B6A" w:rsidRDefault="00000000">
      <w:pPr>
        <w:keepNext/>
        <w:spacing w:line="240" w:lineRule="auto"/>
        <w:jc w:val="center"/>
      </w:pPr>
      <w:r>
        <w:rPr>
          <w:sz w:val="28"/>
        </w:rPr>
        <w:t>Bilješka 110.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792A02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049E7D"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40C72D"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25D1CE"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EEA39E"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07A314"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C07FAB7" w14:textId="77777777" w:rsidR="00AF6B6A" w:rsidRDefault="00000000">
            <w:pPr>
              <w:keepNext/>
              <w:keepLines/>
              <w:spacing w:after="0" w:line="240" w:lineRule="auto"/>
              <w:jc w:val="center"/>
            </w:pPr>
            <w:r>
              <w:rPr>
                <w:b/>
                <w:sz w:val="18"/>
              </w:rPr>
              <w:t>Indeks (%)</w:t>
            </w:r>
          </w:p>
        </w:tc>
      </w:tr>
      <w:tr w:rsidR="00AF6B6A" w14:paraId="21F60879" w14:textId="77777777">
        <w:tblPrEx>
          <w:tblCellMar>
            <w:top w:w="0" w:type="dxa"/>
            <w:bottom w:w="0" w:type="dxa"/>
          </w:tblCellMar>
        </w:tblPrEx>
        <w:trPr>
          <w:cantSplit/>
          <w:trHeight w:val="560"/>
        </w:trPr>
        <w:tc>
          <w:tcPr>
            <w:tcW w:w="700" w:type="dxa"/>
            <w:tcMar>
              <w:top w:w="0" w:type="dxa"/>
              <w:bottom w:w="0" w:type="dxa"/>
            </w:tcMar>
            <w:vAlign w:val="center"/>
          </w:tcPr>
          <w:p w14:paraId="5BAB094A" w14:textId="77777777" w:rsidR="00AF6B6A" w:rsidRDefault="00000000">
            <w:pPr>
              <w:keepNext/>
              <w:keepLines/>
              <w:spacing w:after="0" w:line="240" w:lineRule="auto"/>
            </w:pPr>
            <w:r>
              <w:rPr>
                <w:sz w:val="18"/>
              </w:rPr>
              <w:t>27</w:t>
            </w:r>
          </w:p>
        </w:tc>
        <w:tc>
          <w:tcPr>
            <w:tcW w:w="3180" w:type="dxa"/>
            <w:tcMar>
              <w:top w:w="0" w:type="dxa"/>
              <w:bottom w:w="0" w:type="dxa"/>
            </w:tcMar>
            <w:vAlign w:val="center"/>
          </w:tcPr>
          <w:p w14:paraId="4B903246" w14:textId="77777777" w:rsidR="00AF6B6A"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75E591D3" w14:textId="77777777" w:rsidR="00AF6B6A" w:rsidRDefault="00000000">
            <w:pPr>
              <w:keepNext/>
              <w:keepLines/>
              <w:spacing w:after="0" w:line="240" w:lineRule="auto"/>
            </w:pPr>
            <w:r>
              <w:rPr>
                <w:sz w:val="18"/>
              </w:rPr>
              <w:t>27</w:t>
            </w:r>
          </w:p>
        </w:tc>
        <w:tc>
          <w:tcPr>
            <w:tcW w:w="1860" w:type="dxa"/>
            <w:tcMar>
              <w:top w:w="0" w:type="dxa"/>
              <w:bottom w:w="0" w:type="dxa"/>
            </w:tcMar>
            <w:vAlign w:val="center"/>
          </w:tcPr>
          <w:p w14:paraId="03184929" w14:textId="77777777" w:rsidR="00AF6B6A" w:rsidRDefault="00000000">
            <w:pPr>
              <w:keepNext/>
              <w:keepLines/>
              <w:spacing w:after="0" w:line="240" w:lineRule="auto"/>
              <w:jc w:val="right"/>
            </w:pPr>
            <w:r>
              <w:rPr>
                <w:sz w:val="18"/>
              </w:rPr>
              <w:t>0,00</w:t>
            </w:r>
          </w:p>
        </w:tc>
        <w:tc>
          <w:tcPr>
            <w:tcW w:w="1860" w:type="dxa"/>
            <w:tcMar>
              <w:top w:w="0" w:type="dxa"/>
              <w:bottom w:w="0" w:type="dxa"/>
            </w:tcMar>
            <w:vAlign w:val="center"/>
          </w:tcPr>
          <w:p w14:paraId="55BB66F6" w14:textId="77777777" w:rsidR="00AF6B6A" w:rsidRDefault="00000000">
            <w:pPr>
              <w:keepNext/>
              <w:keepLines/>
              <w:spacing w:after="0" w:line="240" w:lineRule="auto"/>
              <w:jc w:val="right"/>
            </w:pPr>
            <w:r>
              <w:rPr>
                <w:sz w:val="18"/>
              </w:rPr>
              <w:t>2.189.102,92</w:t>
            </w:r>
          </w:p>
        </w:tc>
        <w:tc>
          <w:tcPr>
            <w:tcW w:w="700" w:type="dxa"/>
            <w:tcMar>
              <w:top w:w="0" w:type="dxa"/>
              <w:bottom w:w="0" w:type="dxa"/>
            </w:tcMar>
            <w:vAlign w:val="center"/>
          </w:tcPr>
          <w:p w14:paraId="1169C6A3" w14:textId="77777777" w:rsidR="00AF6B6A" w:rsidRDefault="00000000">
            <w:pPr>
              <w:keepNext/>
              <w:keepLines/>
              <w:spacing w:after="0" w:line="240" w:lineRule="auto"/>
              <w:jc w:val="right"/>
            </w:pPr>
            <w:r>
              <w:rPr>
                <w:sz w:val="18"/>
              </w:rPr>
              <w:t>-</w:t>
            </w:r>
          </w:p>
        </w:tc>
      </w:tr>
    </w:tbl>
    <w:p w14:paraId="76AFD8B4" w14:textId="77777777" w:rsidR="00AF6B6A" w:rsidRDefault="00AF6B6A">
      <w:pPr>
        <w:spacing w:after="0"/>
      </w:pPr>
    </w:p>
    <w:p w14:paraId="53196DEC" w14:textId="77777777" w:rsidR="00AF6B6A" w:rsidRDefault="00000000">
      <w:pPr>
        <w:jc w:val="both"/>
      </w:pPr>
      <w:r>
        <w:t>Obveze za predujmove, depozite, jamčevne pologe i tuđe prihode (27) novi je konto u skladu sa Pravilnikom o proračunskom računovodstvu te su na navedeni konto prenesena salda sa konta 239. Zbog toga na ovom kontu u 2024. godini nije bilo salda. Na kontu 27212 Obveze za jamčevne pologe prenesen je saldo sa konta 23953 te su u toku godine knjižena primljena novčana jamstva. Saldo na kraju godine iznosi 250.577,95 EUR. Konto Obveze za naplaćene tuđe prihode odnosi se na prihode dobivene od Ministarstva rada, mirovinskog sustava, obitelj i socijalne politike za troškove ogrjeva te na sredstva koje se naplaćuju za prodaju stanova i saldo iznosi 748,73 EUR i odnosi se na sredstva koja je potrebno uplatiti Ministarstvu pravosuđa, uprave i digitalne transformacije za naplaćene prihode od prodaje stanova za prosinac 2025. godine. Saldo na kontu 23956 na kraju 2024. godine prenesen je na konto 27411 Obveze proračuna za naplaćena sredstva proračunskog korisnika u 2025. godini te su na navedenom kontu sredstva proračunskih korisnika za prehranu po osnovnim školama grada Varaždina, sredstva za Gradsku knjižnicu i sredstva za Dječji vrtić. Saldo na kraju godine iznosi 45.942,93 EUR. Također, sredstva sa konta 239571 Obveze za EU predujmove prenesena su na konto 27511 Obveze za EU predujmove i odnose se na sredstva primljenog predujma Inter Act Green. Saldo iznosi 1.891.833,31 EUR. </w:t>
      </w:r>
    </w:p>
    <w:p w14:paraId="119ACC61" w14:textId="77777777" w:rsidR="00AF6B6A" w:rsidRDefault="00AF6B6A"/>
    <w:p w14:paraId="7A9F7050" w14:textId="77777777" w:rsidR="00AF6B6A" w:rsidRDefault="00000000">
      <w:pPr>
        <w:keepNext/>
        <w:spacing w:line="240" w:lineRule="auto"/>
        <w:jc w:val="center"/>
      </w:pPr>
      <w:r>
        <w:rPr>
          <w:sz w:val="28"/>
        </w:rPr>
        <w:t>Bilješka 111.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2D960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A4AD6A"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9D9B31"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577EEA"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ACC83A"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8A1E3B"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B68A04" w14:textId="77777777" w:rsidR="00AF6B6A" w:rsidRDefault="00000000">
            <w:pPr>
              <w:keepNext/>
              <w:keepLines/>
              <w:spacing w:after="0" w:line="240" w:lineRule="auto"/>
              <w:jc w:val="center"/>
            </w:pPr>
            <w:r>
              <w:rPr>
                <w:b/>
                <w:sz w:val="18"/>
              </w:rPr>
              <w:t>Indeks (%)</w:t>
            </w:r>
          </w:p>
        </w:tc>
      </w:tr>
      <w:tr w:rsidR="00AF6B6A" w14:paraId="2A820040" w14:textId="77777777">
        <w:tblPrEx>
          <w:tblCellMar>
            <w:top w:w="0" w:type="dxa"/>
            <w:bottom w:w="0" w:type="dxa"/>
          </w:tblCellMar>
        </w:tblPrEx>
        <w:trPr>
          <w:cantSplit/>
          <w:trHeight w:val="560"/>
        </w:trPr>
        <w:tc>
          <w:tcPr>
            <w:tcW w:w="700" w:type="dxa"/>
            <w:tcMar>
              <w:top w:w="0" w:type="dxa"/>
              <w:bottom w:w="0" w:type="dxa"/>
            </w:tcMar>
            <w:vAlign w:val="center"/>
          </w:tcPr>
          <w:p w14:paraId="786ACA30" w14:textId="77777777" w:rsidR="00AF6B6A" w:rsidRDefault="00000000">
            <w:pPr>
              <w:keepNext/>
              <w:keepLines/>
              <w:spacing w:after="0" w:line="240" w:lineRule="auto"/>
            </w:pPr>
            <w:r>
              <w:rPr>
                <w:sz w:val="18"/>
              </w:rPr>
              <w:t>9</w:t>
            </w:r>
          </w:p>
        </w:tc>
        <w:tc>
          <w:tcPr>
            <w:tcW w:w="3180" w:type="dxa"/>
            <w:tcMar>
              <w:top w:w="0" w:type="dxa"/>
              <w:bottom w:w="0" w:type="dxa"/>
            </w:tcMar>
            <w:vAlign w:val="center"/>
          </w:tcPr>
          <w:p w14:paraId="33DB8315" w14:textId="77777777" w:rsidR="00AF6B6A" w:rsidRDefault="00000000">
            <w:pPr>
              <w:keepNext/>
              <w:keepLines/>
              <w:spacing w:after="0" w:line="240" w:lineRule="auto"/>
            </w:pPr>
            <w:r>
              <w:rPr>
                <w:sz w:val="18"/>
              </w:rPr>
              <w:t>Vlastiti izvori (šifre 91 + 922 - 93 + 96 + 97)</w:t>
            </w:r>
          </w:p>
        </w:tc>
        <w:tc>
          <w:tcPr>
            <w:tcW w:w="700" w:type="dxa"/>
            <w:tcMar>
              <w:top w:w="0" w:type="dxa"/>
              <w:bottom w:w="0" w:type="dxa"/>
            </w:tcMar>
            <w:vAlign w:val="center"/>
          </w:tcPr>
          <w:p w14:paraId="074088FC" w14:textId="77777777" w:rsidR="00AF6B6A" w:rsidRDefault="00000000">
            <w:pPr>
              <w:keepNext/>
              <w:keepLines/>
              <w:spacing w:after="0" w:line="240" w:lineRule="auto"/>
            </w:pPr>
            <w:r>
              <w:rPr>
                <w:sz w:val="18"/>
              </w:rPr>
              <w:t>9</w:t>
            </w:r>
          </w:p>
        </w:tc>
        <w:tc>
          <w:tcPr>
            <w:tcW w:w="1860" w:type="dxa"/>
            <w:tcMar>
              <w:top w:w="0" w:type="dxa"/>
              <w:bottom w:w="0" w:type="dxa"/>
            </w:tcMar>
            <w:vAlign w:val="center"/>
          </w:tcPr>
          <w:p w14:paraId="51D3E28B" w14:textId="77777777" w:rsidR="00AF6B6A" w:rsidRDefault="00000000">
            <w:pPr>
              <w:keepNext/>
              <w:keepLines/>
              <w:spacing w:after="0" w:line="240" w:lineRule="auto"/>
              <w:jc w:val="right"/>
            </w:pPr>
            <w:r>
              <w:rPr>
                <w:sz w:val="18"/>
              </w:rPr>
              <w:t>157.719.898,52</w:t>
            </w:r>
          </w:p>
        </w:tc>
        <w:tc>
          <w:tcPr>
            <w:tcW w:w="1860" w:type="dxa"/>
            <w:tcMar>
              <w:top w:w="0" w:type="dxa"/>
              <w:bottom w:w="0" w:type="dxa"/>
            </w:tcMar>
            <w:vAlign w:val="center"/>
          </w:tcPr>
          <w:p w14:paraId="48A6D4C6" w14:textId="77777777" w:rsidR="00AF6B6A" w:rsidRDefault="00000000">
            <w:pPr>
              <w:keepNext/>
              <w:keepLines/>
              <w:spacing w:after="0" w:line="240" w:lineRule="auto"/>
              <w:jc w:val="right"/>
            </w:pPr>
            <w:r>
              <w:rPr>
                <w:sz w:val="18"/>
              </w:rPr>
              <w:t>141.737.367,25</w:t>
            </w:r>
          </w:p>
        </w:tc>
        <w:tc>
          <w:tcPr>
            <w:tcW w:w="700" w:type="dxa"/>
            <w:tcMar>
              <w:top w:w="0" w:type="dxa"/>
              <w:bottom w:w="0" w:type="dxa"/>
            </w:tcMar>
            <w:vAlign w:val="center"/>
          </w:tcPr>
          <w:p w14:paraId="433D8772" w14:textId="77777777" w:rsidR="00AF6B6A" w:rsidRDefault="00000000">
            <w:pPr>
              <w:keepNext/>
              <w:keepLines/>
              <w:spacing w:after="0" w:line="240" w:lineRule="auto"/>
              <w:jc w:val="right"/>
            </w:pPr>
            <w:r>
              <w:rPr>
                <w:sz w:val="18"/>
              </w:rPr>
              <w:t>89,9</w:t>
            </w:r>
          </w:p>
        </w:tc>
      </w:tr>
    </w:tbl>
    <w:p w14:paraId="585056F0" w14:textId="77777777" w:rsidR="00AF6B6A" w:rsidRDefault="00AF6B6A">
      <w:pPr>
        <w:spacing w:after="0"/>
      </w:pPr>
    </w:p>
    <w:p w14:paraId="1D241E2A" w14:textId="77777777" w:rsidR="00AF6B6A" w:rsidRDefault="00000000">
      <w:pPr>
        <w:jc w:val="both"/>
      </w:pPr>
      <w:r>
        <w:t>Vlastiti izvori iznose 141.737.367,25 EUR. Vlastiti izvori smanjeni su u odnosu na prošlu godinu za 10,1% te je u opisu nefinancijske imovine u sklopu bilješki Bilance objašnjeno zbog čega je došlo do smanjenja. </w:t>
      </w:r>
    </w:p>
    <w:p w14:paraId="0DA5F718" w14:textId="77777777" w:rsidR="00AF6B6A" w:rsidRDefault="00AF6B6A"/>
    <w:p w14:paraId="33051249" w14:textId="77777777" w:rsidR="00AF6B6A" w:rsidRDefault="00000000">
      <w:pPr>
        <w:keepNext/>
        <w:spacing w:line="240" w:lineRule="auto"/>
        <w:jc w:val="center"/>
      </w:pPr>
      <w:r>
        <w:rPr>
          <w:sz w:val="28"/>
        </w:rPr>
        <w:t>Bilješka 112.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4E895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9B47B2"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1A54F3"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39CD95"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90CF21"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B670486"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2552DB" w14:textId="77777777" w:rsidR="00AF6B6A" w:rsidRDefault="00000000">
            <w:pPr>
              <w:keepNext/>
              <w:keepLines/>
              <w:spacing w:after="0" w:line="240" w:lineRule="auto"/>
              <w:jc w:val="center"/>
            </w:pPr>
            <w:r>
              <w:rPr>
                <w:b/>
                <w:sz w:val="18"/>
              </w:rPr>
              <w:t>Indeks (%)</w:t>
            </w:r>
          </w:p>
        </w:tc>
      </w:tr>
      <w:tr w:rsidR="00AF6B6A" w14:paraId="19B4EA43" w14:textId="77777777">
        <w:tblPrEx>
          <w:tblCellMar>
            <w:top w:w="0" w:type="dxa"/>
            <w:bottom w:w="0" w:type="dxa"/>
          </w:tblCellMar>
        </w:tblPrEx>
        <w:trPr>
          <w:cantSplit/>
          <w:trHeight w:val="560"/>
        </w:trPr>
        <w:tc>
          <w:tcPr>
            <w:tcW w:w="700" w:type="dxa"/>
            <w:tcMar>
              <w:top w:w="0" w:type="dxa"/>
              <w:bottom w:w="0" w:type="dxa"/>
            </w:tcMar>
            <w:vAlign w:val="center"/>
          </w:tcPr>
          <w:p w14:paraId="69A9A539" w14:textId="77777777" w:rsidR="00AF6B6A" w:rsidRDefault="00000000">
            <w:pPr>
              <w:keepNext/>
              <w:keepLines/>
              <w:spacing w:after="0" w:line="240" w:lineRule="auto"/>
            </w:pPr>
            <w:r>
              <w:rPr>
                <w:sz w:val="18"/>
              </w:rPr>
              <w:t>922</w:t>
            </w:r>
          </w:p>
        </w:tc>
        <w:tc>
          <w:tcPr>
            <w:tcW w:w="3180" w:type="dxa"/>
            <w:tcMar>
              <w:top w:w="0" w:type="dxa"/>
              <w:bottom w:w="0" w:type="dxa"/>
            </w:tcMar>
            <w:vAlign w:val="center"/>
          </w:tcPr>
          <w:p w14:paraId="2C3475B1" w14:textId="77777777" w:rsidR="00AF6B6A"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7393D60C" w14:textId="77777777" w:rsidR="00AF6B6A" w:rsidRDefault="00000000">
            <w:pPr>
              <w:keepNext/>
              <w:keepLines/>
              <w:spacing w:after="0" w:line="240" w:lineRule="auto"/>
            </w:pPr>
            <w:r>
              <w:rPr>
                <w:sz w:val="18"/>
              </w:rPr>
              <w:t>922</w:t>
            </w:r>
          </w:p>
        </w:tc>
        <w:tc>
          <w:tcPr>
            <w:tcW w:w="1860" w:type="dxa"/>
            <w:tcMar>
              <w:top w:w="0" w:type="dxa"/>
              <w:bottom w:w="0" w:type="dxa"/>
            </w:tcMar>
            <w:vAlign w:val="center"/>
          </w:tcPr>
          <w:p w14:paraId="098786E5" w14:textId="77777777" w:rsidR="00AF6B6A" w:rsidRDefault="00000000">
            <w:pPr>
              <w:keepNext/>
              <w:keepLines/>
              <w:spacing w:after="0" w:line="240" w:lineRule="auto"/>
              <w:jc w:val="right"/>
            </w:pPr>
            <w:r>
              <w:rPr>
                <w:sz w:val="18"/>
              </w:rPr>
              <w:t>1.140.716,06</w:t>
            </w:r>
          </w:p>
        </w:tc>
        <w:tc>
          <w:tcPr>
            <w:tcW w:w="1860" w:type="dxa"/>
            <w:tcMar>
              <w:top w:w="0" w:type="dxa"/>
              <w:bottom w:w="0" w:type="dxa"/>
            </w:tcMar>
            <w:vAlign w:val="center"/>
          </w:tcPr>
          <w:p w14:paraId="2F4EAE79" w14:textId="77777777" w:rsidR="00AF6B6A" w:rsidRDefault="00000000">
            <w:pPr>
              <w:keepNext/>
              <w:keepLines/>
              <w:spacing w:after="0" w:line="240" w:lineRule="auto"/>
              <w:jc w:val="right"/>
            </w:pPr>
            <w:r>
              <w:rPr>
                <w:sz w:val="18"/>
              </w:rPr>
              <w:t>-1.920.183,78</w:t>
            </w:r>
          </w:p>
        </w:tc>
        <w:tc>
          <w:tcPr>
            <w:tcW w:w="700" w:type="dxa"/>
            <w:tcMar>
              <w:top w:w="0" w:type="dxa"/>
              <w:bottom w:w="0" w:type="dxa"/>
            </w:tcMar>
            <w:vAlign w:val="center"/>
          </w:tcPr>
          <w:p w14:paraId="78882308" w14:textId="77777777" w:rsidR="00AF6B6A" w:rsidRDefault="00000000">
            <w:pPr>
              <w:keepNext/>
              <w:keepLines/>
              <w:spacing w:after="0" w:line="240" w:lineRule="auto"/>
              <w:jc w:val="right"/>
            </w:pPr>
            <w:r>
              <w:rPr>
                <w:sz w:val="18"/>
              </w:rPr>
              <w:t>-168,3</w:t>
            </w:r>
          </w:p>
        </w:tc>
      </w:tr>
    </w:tbl>
    <w:p w14:paraId="4C8BC5A9" w14:textId="77777777" w:rsidR="00AF6B6A" w:rsidRDefault="00AF6B6A">
      <w:pPr>
        <w:spacing w:after="0"/>
      </w:pPr>
    </w:p>
    <w:p w14:paraId="292ABC83" w14:textId="77777777" w:rsidR="00AF6B6A" w:rsidRDefault="00000000">
      <w:pPr>
        <w:jc w:val="both"/>
      </w:pPr>
      <w:r>
        <w:lastRenderedPageBreak/>
        <w:t>Na dan 31.12.2025. godine manjak iznosi 1.920.183,78 EUR.</w:t>
      </w:r>
    </w:p>
    <w:p w14:paraId="678EB871" w14:textId="77777777" w:rsidR="00AF6B6A" w:rsidRDefault="00000000">
      <w:pPr>
        <w:jc w:val="both"/>
      </w:pPr>
      <w:r>
        <w:t>Na dan 31.12.2024. ostvaren je višak prihoda poslovanja u iznosu od 1.140.716,06 EUR. Taj višak nije jednak prenesenom višku na kraju 2025. godine, budući da je višak prihoda poslovanja u 2025. godini povećan za 74,67 eura, koji su rezultat usklađenja sa dobavljačima. Naime, uskladom je utvrđeno da je pogrešno iskazana obveza u 2024. godini te je dobavljač osporio navedenu obvezu pa je zbog toga rezultat poslovanja povećan za navedeni iznos. Isto tako, rezultat po viškovima/manjkovima nije jednak viškovima i manjkovima u PR-RAS-u, budući da je rađena obvezna korekcija rezultata koja će biti pojašnjena u nastavku.</w:t>
      </w:r>
    </w:p>
    <w:p w14:paraId="6946B27F" w14:textId="77777777" w:rsidR="00AF6B6A" w:rsidRDefault="00000000">
      <w:pPr>
        <w:jc w:val="both"/>
      </w:pPr>
      <w:r>
        <w:t>Nakon povećanja prihoda zbog osporene obveze, rezutat poslovanja iznosi:</w:t>
      </w:r>
    </w:p>
    <w:p w14:paraId="583A9E1B" w14:textId="77777777" w:rsidR="00AF6B6A" w:rsidRDefault="00000000">
      <w:pPr>
        <w:jc w:val="both"/>
      </w:pPr>
      <w:r>
        <w:t>Konto 92211 Višak prihoda poslovanja - prenesni- 278.560,80 EUR. Isto je prikazano i u PR-RAS obrascu na kontu 92211.</w:t>
      </w:r>
    </w:p>
    <w:p w14:paraId="5BD06832" w14:textId="77777777" w:rsidR="00AF6B6A" w:rsidRDefault="00000000">
      <w:pPr>
        <w:jc w:val="both"/>
      </w:pPr>
      <w:r>
        <w:t>Konto 92213 Višak primitaka od financijske imovine - preneseni - 862.229,93 EUR. </w:t>
      </w:r>
    </w:p>
    <w:p w14:paraId="653A1FB4" w14:textId="77777777" w:rsidR="00AF6B6A" w:rsidRDefault="00000000">
      <w:pPr>
        <w:jc w:val="both"/>
      </w:pPr>
      <w:r>
        <w:t>Rezultat sučeljavanja prihoda i rashoda, primitaka i izdataka u 2025. godini daje sljedeći rezultat:</w:t>
      </w:r>
    </w:p>
    <w:p w14:paraId="01DF188E" w14:textId="77777777" w:rsidR="00AF6B6A" w:rsidRDefault="00000000">
      <w:pPr>
        <w:jc w:val="both"/>
      </w:pPr>
      <w:r>
        <w:t>Višak prihoda poslovanja -  12.193.371,48 EUR</w:t>
      </w:r>
    </w:p>
    <w:p w14:paraId="66BDC318" w14:textId="77777777" w:rsidR="00AF6B6A" w:rsidRDefault="00000000">
      <w:pPr>
        <w:jc w:val="both"/>
      </w:pPr>
      <w:r>
        <w:t>Manjak prihoda od nefinancijske imovine - 18.194.542,02 EUR</w:t>
      </w:r>
    </w:p>
    <w:p w14:paraId="18F262D0" w14:textId="77777777" w:rsidR="00AF6B6A" w:rsidRDefault="00000000">
      <w:pPr>
        <w:jc w:val="both"/>
      </w:pPr>
      <w:r>
        <w:t>Višak primitaka od financijske imovine i zaduživanja - 2.940.196,03 EUR </w:t>
      </w:r>
    </w:p>
    <w:p w14:paraId="25C5900B" w14:textId="77777777" w:rsidR="00AF6B6A" w:rsidRDefault="00000000">
      <w:pPr>
        <w:jc w:val="both"/>
      </w:pPr>
      <w:r>
        <w:t>što u konačnici daje rezultat u toku 2025. godine  -</w:t>
      </w:r>
    </w:p>
    <w:p w14:paraId="2733BE9A" w14:textId="77777777" w:rsidR="00AF6B6A" w:rsidRDefault="00000000">
      <w:pPr>
        <w:jc w:val="both"/>
      </w:pPr>
      <w:r>
        <w:t>MANJAK PRIHODA I PRIMITAKA - 3.060.974,51 EUR. </w:t>
      </w:r>
    </w:p>
    <w:p w14:paraId="0723F42A" w14:textId="77777777" w:rsidR="00AF6B6A" w:rsidRDefault="00000000">
      <w:pPr>
        <w:jc w:val="both"/>
      </w:pPr>
      <w:r>
        <w:t>Nakon toga napravljena je obvezna korekcija rezultata, kojim je manjak prihoda od nefinancijske imovine dijelom pokriven viškom prihoda poslovanja. Nakon što je provedena obvezna korekcija rezultata u iznosu od 12.638.349,37 EUR, rezultat upisan u obrazac Bilance izgleda ovako:</w:t>
      </w:r>
    </w:p>
    <w:p w14:paraId="095A970C" w14:textId="77777777" w:rsidR="00AF6B6A" w:rsidRDefault="00000000">
      <w:pPr>
        <w:jc w:val="both"/>
      </w:pPr>
      <w:r>
        <w:t>Manjak prihoda poslovanja - 166.417,09 EUR</w:t>
      </w:r>
    </w:p>
    <w:p w14:paraId="73616C24" w14:textId="77777777" w:rsidR="00AF6B6A" w:rsidRDefault="00000000">
      <w:pPr>
        <w:jc w:val="both"/>
      </w:pPr>
      <w:r>
        <w:t>Manjak prihoda od nefinancijske imovine - 5.556.192,65 EUR</w:t>
      </w:r>
    </w:p>
    <w:p w14:paraId="7B7E9789" w14:textId="77777777" w:rsidR="00AF6B6A" w:rsidRDefault="00000000">
      <w:pPr>
        <w:jc w:val="both"/>
      </w:pPr>
      <w:r>
        <w:t>Višak primitaka od financijske imovine i zaduživanja - 3.802.425,96 EUR,</w:t>
      </w:r>
    </w:p>
    <w:p w14:paraId="428869B7" w14:textId="77777777" w:rsidR="00AF6B6A" w:rsidRDefault="00000000">
      <w:pPr>
        <w:jc w:val="both"/>
      </w:pPr>
      <w:r>
        <w:t>što daje ukupan MANJAK PRIHODA u iznosu: 1.920.183,78 EUR.</w:t>
      </w:r>
    </w:p>
    <w:p w14:paraId="064C7091" w14:textId="77777777" w:rsidR="00AF6B6A" w:rsidRDefault="00000000">
      <w:pPr>
        <w:jc w:val="both"/>
      </w:pPr>
      <w:r>
        <w:t>Obvezna korekcija rezultata rađena je za sljedeća konta: </w:t>
      </w:r>
    </w:p>
    <w:p w14:paraId="3D873169" w14:textId="77777777" w:rsidR="00AF6B6A" w:rsidRDefault="00000000">
      <w:pPr>
        <w:jc w:val="both"/>
      </w:pPr>
      <w:r>
        <w:t>633211 - odnosi se na prihode za financiranje rashoda za nabavu nefinancijske imovine u iznosu od 31.282,06 EUR,</w:t>
      </w:r>
    </w:p>
    <w:p w14:paraId="067F4E9B" w14:textId="77777777" w:rsidR="00AF6B6A" w:rsidRDefault="00000000">
      <w:pPr>
        <w:jc w:val="both"/>
      </w:pPr>
      <w:r>
        <w:t>634250 - Kapitalne pomoći od ostalih izvanproračunskih korisnika državnog proračuna - u iznosu od 189.349,91 EUR,</w:t>
      </w:r>
    </w:p>
    <w:p w14:paraId="5CF75265" w14:textId="77777777" w:rsidR="00AF6B6A" w:rsidRDefault="00000000">
      <w:pPr>
        <w:jc w:val="both"/>
      </w:pPr>
      <w:r>
        <w:t>638210 - Kapitalne pomoći iz državnog proračuna temeljem prijenosa EU sredstava - u iznosu od 140.525,44 EUR te</w:t>
      </w:r>
    </w:p>
    <w:p w14:paraId="1720CE7A" w14:textId="77777777" w:rsidR="00AF6B6A" w:rsidRDefault="00000000">
      <w:pPr>
        <w:jc w:val="both"/>
      </w:pPr>
      <w:r>
        <w:lastRenderedPageBreak/>
        <w:t>634251 - Kapitalne pomoći od ostalih izvanproračunskih korisnika državnog proračuna - BALE - 12.277.191,96 EUR, </w:t>
      </w:r>
    </w:p>
    <w:p w14:paraId="609DD35E" w14:textId="77777777" w:rsidR="00AF6B6A" w:rsidRDefault="00000000">
      <w:pPr>
        <w:jc w:val="both"/>
      </w:pPr>
      <w:r>
        <w:t>što ukupno iznosi 1.638.349,37 EUR.</w:t>
      </w:r>
    </w:p>
    <w:p w14:paraId="21C2AE11" w14:textId="77777777" w:rsidR="00AF6B6A" w:rsidRDefault="00000000">
      <w:pPr>
        <w:jc w:val="both"/>
      </w:pPr>
      <w:r>
        <w:t> </w:t>
      </w:r>
    </w:p>
    <w:p w14:paraId="449C91C0" w14:textId="77777777" w:rsidR="00AF6B6A" w:rsidRDefault="00AF6B6A"/>
    <w:p w14:paraId="459048D8" w14:textId="77777777" w:rsidR="00AF6B6A" w:rsidRDefault="00000000">
      <w:pPr>
        <w:keepNext/>
        <w:spacing w:line="240" w:lineRule="auto"/>
        <w:jc w:val="center"/>
      </w:pPr>
      <w:r>
        <w:rPr>
          <w:sz w:val="28"/>
        </w:rPr>
        <w:t>Bilješka 113.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61FB2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4754FE"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947BE7"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620868"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E98687"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DAAF8C"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8D8B24" w14:textId="77777777" w:rsidR="00AF6B6A" w:rsidRDefault="00000000">
            <w:pPr>
              <w:keepNext/>
              <w:keepLines/>
              <w:spacing w:after="0" w:line="240" w:lineRule="auto"/>
              <w:jc w:val="center"/>
            </w:pPr>
            <w:r>
              <w:rPr>
                <w:b/>
                <w:sz w:val="18"/>
              </w:rPr>
              <w:t>Indeks (%)</w:t>
            </w:r>
          </w:p>
        </w:tc>
      </w:tr>
      <w:tr w:rsidR="00AF6B6A" w14:paraId="3D57A5E0" w14:textId="77777777">
        <w:tblPrEx>
          <w:tblCellMar>
            <w:top w:w="0" w:type="dxa"/>
            <w:bottom w:w="0" w:type="dxa"/>
          </w:tblCellMar>
        </w:tblPrEx>
        <w:trPr>
          <w:cantSplit/>
          <w:trHeight w:val="560"/>
        </w:trPr>
        <w:tc>
          <w:tcPr>
            <w:tcW w:w="700" w:type="dxa"/>
            <w:tcMar>
              <w:top w:w="0" w:type="dxa"/>
              <w:bottom w:w="0" w:type="dxa"/>
            </w:tcMar>
            <w:vAlign w:val="center"/>
          </w:tcPr>
          <w:p w14:paraId="1910C5B4" w14:textId="77777777" w:rsidR="00AF6B6A" w:rsidRDefault="00000000">
            <w:pPr>
              <w:keepNext/>
              <w:keepLines/>
              <w:spacing w:after="0" w:line="240" w:lineRule="auto"/>
            </w:pPr>
            <w:r>
              <w:rPr>
                <w:sz w:val="18"/>
              </w:rPr>
              <w:t>991</w:t>
            </w:r>
          </w:p>
        </w:tc>
        <w:tc>
          <w:tcPr>
            <w:tcW w:w="3180" w:type="dxa"/>
            <w:tcMar>
              <w:top w:w="0" w:type="dxa"/>
              <w:bottom w:w="0" w:type="dxa"/>
            </w:tcMar>
            <w:vAlign w:val="center"/>
          </w:tcPr>
          <w:p w14:paraId="337D4A01" w14:textId="77777777" w:rsidR="00AF6B6A" w:rsidRDefault="00000000">
            <w:pPr>
              <w:keepNext/>
              <w:keepLines/>
              <w:spacing w:after="0" w:line="240" w:lineRule="auto"/>
            </w:pPr>
            <w:r>
              <w:rPr>
                <w:sz w:val="18"/>
              </w:rPr>
              <w:t>Izvanbilančni zapisi - aktiva (šifra 996)</w:t>
            </w:r>
          </w:p>
        </w:tc>
        <w:tc>
          <w:tcPr>
            <w:tcW w:w="700" w:type="dxa"/>
            <w:tcMar>
              <w:top w:w="0" w:type="dxa"/>
              <w:bottom w:w="0" w:type="dxa"/>
            </w:tcMar>
            <w:vAlign w:val="center"/>
          </w:tcPr>
          <w:p w14:paraId="688CEA5E" w14:textId="77777777" w:rsidR="00AF6B6A" w:rsidRDefault="00000000">
            <w:pPr>
              <w:keepNext/>
              <w:keepLines/>
              <w:spacing w:after="0" w:line="240" w:lineRule="auto"/>
            </w:pPr>
            <w:r>
              <w:rPr>
                <w:sz w:val="18"/>
              </w:rPr>
              <w:t>991</w:t>
            </w:r>
          </w:p>
        </w:tc>
        <w:tc>
          <w:tcPr>
            <w:tcW w:w="1860" w:type="dxa"/>
            <w:tcMar>
              <w:top w:w="0" w:type="dxa"/>
              <w:bottom w:w="0" w:type="dxa"/>
            </w:tcMar>
            <w:vAlign w:val="center"/>
          </w:tcPr>
          <w:p w14:paraId="01080878" w14:textId="77777777" w:rsidR="00AF6B6A" w:rsidRDefault="00000000">
            <w:pPr>
              <w:keepNext/>
              <w:keepLines/>
              <w:spacing w:after="0" w:line="240" w:lineRule="auto"/>
              <w:jc w:val="right"/>
            </w:pPr>
            <w:r>
              <w:rPr>
                <w:sz w:val="18"/>
              </w:rPr>
              <w:t>55.109.241,15</w:t>
            </w:r>
          </w:p>
        </w:tc>
        <w:tc>
          <w:tcPr>
            <w:tcW w:w="1860" w:type="dxa"/>
            <w:tcMar>
              <w:top w:w="0" w:type="dxa"/>
              <w:bottom w:w="0" w:type="dxa"/>
            </w:tcMar>
            <w:vAlign w:val="center"/>
          </w:tcPr>
          <w:p w14:paraId="2C39A1C9" w14:textId="77777777" w:rsidR="00AF6B6A" w:rsidRDefault="00000000">
            <w:pPr>
              <w:keepNext/>
              <w:keepLines/>
              <w:spacing w:after="0" w:line="240" w:lineRule="auto"/>
              <w:jc w:val="right"/>
            </w:pPr>
            <w:r>
              <w:rPr>
                <w:sz w:val="18"/>
              </w:rPr>
              <w:t>171.162.143,29</w:t>
            </w:r>
          </w:p>
        </w:tc>
        <w:tc>
          <w:tcPr>
            <w:tcW w:w="700" w:type="dxa"/>
            <w:tcMar>
              <w:top w:w="0" w:type="dxa"/>
              <w:bottom w:w="0" w:type="dxa"/>
            </w:tcMar>
            <w:vAlign w:val="center"/>
          </w:tcPr>
          <w:p w14:paraId="3A006CB8" w14:textId="77777777" w:rsidR="00AF6B6A" w:rsidRDefault="00000000">
            <w:pPr>
              <w:keepNext/>
              <w:keepLines/>
              <w:spacing w:after="0" w:line="240" w:lineRule="auto"/>
              <w:jc w:val="right"/>
            </w:pPr>
            <w:r>
              <w:rPr>
                <w:sz w:val="18"/>
              </w:rPr>
              <w:t>310,6</w:t>
            </w:r>
          </w:p>
        </w:tc>
      </w:tr>
    </w:tbl>
    <w:p w14:paraId="6683480E" w14:textId="77777777" w:rsidR="00AF6B6A" w:rsidRDefault="00AF6B6A">
      <w:pPr>
        <w:spacing w:after="0"/>
      </w:pPr>
    </w:p>
    <w:p w14:paraId="55703E71" w14:textId="77777777" w:rsidR="00AF6B6A" w:rsidRDefault="00000000">
      <w:pPr>
        <w:jc w:val="both"/>
      </w:pPr>
      <w:r>
        <w:t>Izvanbilančni zapisi - aktiva (991) iznose 171.162.149,29 eura. U sklopu navedenog konta nalazi se nekoliko različitih kategorija koje će u nastavku, odnosno u obveznim analitičkim podacima biti detaljno pojašnjene. </w:t>
      </w:r>
    </w:p>
    <w:p w14:paraId="4E184A78" w14:textId="77777777" w:rsidR="00AF6B6A" w:rsidRDefault="00000000">
      <w:pPr>
        <w:jc w:val="both"/>
      </w:pPr>
      <w:r>
        <w:t>Ovdje je važno napomenuti kako je uočeno da smo prethodnih godina na pogrešan način knjižili zadužnice, garancije i jamstva, odnosno bila su knjižena na način da smo primljene zadužnice, garancije i jamstva knjižili na dugovnu stranu konta 991, dok smo izdane zadužnice, jamstva i garancije knjižili na potražnu stranu konta 991. Zbog navedene pogreške, nismo u mogućnosti ispravno iskazati podatke za 2024. godinu pa će ovdje biti dodatno pojašnjeni, nakon što navedemo sve izvanbilančne zapise iz 2025. godine. </w:t>
      </w:r>
    </w:p>
    <w:p w14:paraId="14EDBA22" w14:textId="77777777" w:rsidR="00AF6B6A" w:rsidRDefault="00000000">
      <w:pPr>
        <w:jc w:val="both"/>
      </w:pPr>
      <w:r>
        <w:t>Tuđa imovina dobivena na korištenje iznosi 535.781,85 EUR i odnosi se u iznosu od 10.408,89 EUR na kopirke čiji je vlasnik KOPITEHNA s kojom je sklopljen ugovor o najmu 38 uređaja. Ostatak iznosi 525.372,96 EUR-a i odnosi se na tuđu imovinu koja je evidentirana od 2015. godine na ovom kontu. Na kontu 991410 evidentirane su primljene i dane zadužnice, jamstva i garancije. Primljene garancije i zadužnice na dan 31.12.2025. godine iznose 9.794.772,93 EUR, dok izdane zadužnice, garancije i jamstva iznose 116.362.317,30 EUR.</w:t>
      </w:r>
    </w:p>
    <w:p w14:paraId="7F0A6A56" w14:textId="77777777" w:rsidR="00AF6B6A" w:rsidRDefault="00000000">
      <w:pPr>
        <w:jc w:val="both"/>
      </w:pPr>
      <w:r>
        <w:t>Potraživanja po ugovorima o dodijeljenim bespovratnim sredstvima iznose 11.041.198,78 EUR i na navedenom kontu nalaze se svi sklopljeni ugovori po kojima se u budućnosti očekuju bespovratna sredstva iz EU.</w:t>
      </w:r>
    </w:p>
    <w:p w14:paraId="4D9E6A17" w14:textId="77777777" w:rsidR="00AF6B6A" w:rsidRDefault="00000000">
      <w:pPr>
        <w:jc w:val="both"/>
      </w:pPr>
      <w:r>
        <w:t>Na ostalim izvanbilančnim zapisima knjiženo je 1.151.117,21 EUR koji se odnose na potencijalne sudske sporove po kojima se očekuje obveza grada Varaždina za plaćanje u budućnosti. Značajno su smanjeni u toku 2025. godine, u 2024. godini iznosili su 6.767.725,44 EUR, ali je u toku 2025. godine Trgovački sud u Varaždinu donio presudu kojom se odbija tužbeni zahtjev tužitelja CE-ZA-R d.o.o. te se po navedenom sudskom sporu ne očekuje novčani odljev sredstava. </w:t>
      </w:r>
    </w:p>
    <w:p w14:paraId="5158D024" w14:textId="77777777" w:rsidR="00AF6B6A" w:rsidRDefault="00000000">
      <w:pPr>
        <w:jc w:val="both"/>
      </w:pPr>
      <w:r>
        <w:t>Osim toga, na izvanbilančnim zapisima knjižena su i potraživanja po ugovorima po kojima se očekuju prihodi u budućnosti, ali se na odnose na projekte EU. Navedeno iznosi 322.560,22 EUR. Isto tako, ovdje su knjiženi dugoročni ugovori u iznosu od 31.954.395,00 EUR.</w:t>
      </w:r>
    </w:p>
    <w:p w14:paraId="5735E279" w14:textId="77777777" w:rsidR="00AF6B6A" w:rsidRDefault="00000000">
      <w:r>
        <w:lastRenderedPageBreak/>
        <w:t> </w:t>
      </w:r>
    </w:p>
    <w:p w14:paraId="493E1D4A" w14:textId="77777777" w:rsidR="00AF6B6A" w:rsidRDefault="00000000">
      <w:r>
        <w:t> </w:t>
      </w:r>
    </w:p>
    <w:p w14:paraId="6EF677D9" w14:textId="77777777" w:rsidR="00AF6B6A" w:rsidRDefault="00AF6B6A"/>
    <w:p w14:paraId="0060A31E" w14:textId="77777777" w:rsidR="00AF6B6A" w:rsidRDefault="00000000">
      <w:pPr>
        <w:keepNext/>
        <w:spacing w:line="240" w:lineRule="auto"/>
        <w:jc w:val="center"/>
      </w:pPr>
      <w:r>
        <w:rPr>
          <w:sz w:val="28"/>
        </w:rPr>
        <w:t>Bilješka 114.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7E11E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5E5CF0"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202F04"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B88DC5"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237809"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C0D753"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114DC3" w14:textId="77777777" w:rsidR="00AF6B6A" w:rsidRDefault="00000000">
            <w:pPr>
              <w:keepNext/>
              <w:keepLines/>
              <w:spacing w:after="0" w:line="240" w:lineRule="auto"/>
              <w:jc w:val="center"/>
            </w:pPr>
            <w:r>
              <w:rPr>
                <w:b/>
                <w:sz w:val="18"/>
              </w:rPr>
              <w:t>Indeks (%)</w:t>
            </w:r>
          </w:p>
        </w:tc>
      </w:tr>
      <w:tr w:rsidR="00AF6B6A" w14:paraId="1A430195" w14:textId="77777777">
        <w:tblPrEx>
          <w:tblCellMar>
            <w:top w:w="0" w:type="dxa"/>
            <w:bottom w:w="0" w:type="dxa"/>
          </w:tblCellMar>
        </w:tblPrEx>
        <w:trPr>
          <w:cantSplit/>
          <w:trHeight w:val="560"/>
        </w:trPr>
        <w:tc>
          <w:tcPr>
            <w:tcW w:w="700" w:type="dxa"/>
            <w:tcMar>
              <w:top w:w="0" w:type="dxa"/>
              <w:bottom w:w="0" w:type="dxa"/>
            </w:tcMar>
            <w:vAlign w:val="center"/>
          </w:tcPr>
          <w:p w14:paraId="724A2432" w14:textId="77777777" w:rsidR="00AF6B6A" w:rsidRDefault="00000000">
            <w:pPr>
              <w:keepNext/>
              <w:keepLines/>
              <w:spacing w:after="0" w:line="240" w:lineRule="auto"/>
            </w:pPr>
            <w:r>
              <w:rPr>
                <w:sz w:val="18"/>
              </w:rPr>
              <w:t>99641</w:t>
            </w:r>
          </w:p>
        </w:tc>
        <w:tc>
          <w:tcPr>
            <w:tcW w:w="3180" w:type="dxa"/>
            <w:tcMar>
              <w:top w:w="0" w:type="dxa"/>
              <w:bottom w:w="0" w:type="dxa"/>
            </w:tcMar>
            <w:vAlign w:val="center"/>
          </w:tcPr>
          <w:p w14:paraId="215B85B5" w14:textId="77777777" w:rsidR="00AF6B6A" w:rsidRDefault="00000000">
            <w:pPr>
              <w:keepNext/>
              <w:keepLines/>
              <w:spacing w:after="0" w:line="240" w:lineRule="auto"/>
            </w:pPr>
            <w:r>
              <w:rPr>
                <w:sz w:val="18"/>
              </w:rPr>
              <w:t>Instrumenti osiguranja plaćanja</w:t>
            </w:r>
          </w:p>
        </w:tc>
        <w:tc>
          <w:tcPr>
            <w:tcW w:w="700" w:type="dxa"/>
            <w:tcMar>
              <w:top w:w="0" w:type="dxa"/>
              <w:bottom w:w="0" w:type="dxa"/>
            </w:tcMar>
            <w:vAlign w:val="center"/>
          </w:tcPr>
          <w:p w14:paraId="4F2527D3" w14:textId="77777777" w:rsidR="00AF6B6A" w:rsidRDefault="00000000">
            <w:pPr>
              <w:keepNext/>
              <w:keepLines/>
              <w:spacing w:after="0" w:line="240" w:lineRule="auto"/>
            </w:pPr>
            <w:r>
              <w:rPr>
                <w:sz w:val="18"/>
              </w:rPr>
              <w:t>99641</w:t>
            </w:r>
          </w:p>
        </w:tc>
        <w:tc>
          <w:tcPr>
            <w:tcW w:w="1860" w:type="dxa"/>
            <w:tcMar>
              <w:top w:w="0" w:type="dxa"/>
              <w:bottom w:w="0" w:type="dxa"/>
            </w:tcMar>
            <w:vAlign w:val="center"/>
          </w:tcPr>
          <w:p w14:paraId="5F75B6E5" w14:textId="77777777" w:rsidR="00AF6B6A" w:rsidRDefault="00000000">
            <w:pPr>
              <w:keepNext/>
              <w:keepLines/>
              <w:spacing w:after="0" w:line="240" w:lineRule="auto"/>
              <w:jc w:val="right"/>
            </w:pPr>
            <w:r>
              <w:rPr>
                <w:sz w:val="18"/>
              </w:rPr>
              <w:t>55.109.241,15</w:t>
            </w:r>
          </w:p>
        </w:tc>
        <w:tc>
          <w:tcPr>
            <w:tcW w:w="1860" w:type="dxa"/>
            <w:tcMar>
              <w:top w:w="0" w:type="dxa"/>
              <w:bottom w:w="0" w:type="dxa"/>
            </w:tcMar>
            <w:vAlign w:val="center"/>
          </w:tcPr>
          <w:p w14:paraId="41F668F3" w14:textId="77777777" w:rsidR="00AF6B6A" w:rsidRDefault="00000000">
            <w:pPr>
              <w:keepNext/>
              <w:keepLines/>
              <w:spacing w:after="0" w:line="240" w:lineRule="auto"/>
              <w:jc w:val="right"/>
            </w:pPr>
            <w:r>
              <w:rPr>
                <w:sz w:val="18"/>
              </w:rPr>
              <w:t>126.157.090,23</w:t>
            </w:r>
          </w:p>
        </w:tc>
        <w:tc>
          <w:tcPr>
            <w:tcW w:w="700" w:type="dxa"/>
            <w:tcMar>
              <w:top w:w="0" w:type="dxa"/>
              <w:bottom w:w="0" w:type="dxa"/>
            </w:tcMar>
            <w:vAlign w:val="center"/>
          </w:tcPr>
          <w:p w14:paraId="2525127D" w14:textId="77777777" w:rsidR="00AF6B6A" w:rsidRDefault="00000000">
            <w:pPr>
              <w:keepNext/>
              <w:keepLines/>
              <w:spacing w:after="0" w:line="240" w:lineRule="auto"/>
              <w:jc w:val="right"/>
            </w:pPr>
            <w:r>
              <w:rPr>
                <w:sz w:val="18"/>
              </w:rPr>
              <w:t>228,9</w:t>
            </w:r>
          </w:p>
        </w:tc>
      </w:tr>
    </w:tbl>
    <w:p w14:paraId="17A05F23" w14:textId="77777777" w:rsidR="00AF6B6A" w:rsidRDefault="00AF6B6A">
      <w:pPr>
        <w:spacing w:after="0"/>
      </w:pPr>
    </w:p>
    <w:p w14:paraId="7E6E896B" w14:textId="77777777" w:rsidR="00AF6B6A" w:rsidRDefault="00000000">
      <w:pPr>
        <w:jc w:val="both"/>
      </w:pPr>
      <w:r>
        <w:t>Kao što je već gore opisano, u 2024. godini pogrešno su iskazani podaci vezani uz primljene i dane garancije, suglasnoti i jamstva.</w:t>
      </w:r>
    </w:p>
    <w:p w14:paraId="719AC78D" w14:textId="77777777" w:rsidR="00AF6B6A" w:rsidRDefault="00000000">
      <w:pPr>
        <w:jc w:val="both"/>
      </w:pPr>
      <w:r>
        <w:t>Tuđa imovina dobivena na korištenje iznosi  535.781,85 EUR.</w:t>
      </w:r>
    </w:p>
    <w:p w14:paraId="59E66BD3" w14:textId="77777777" w:rsidR="00AF6B6A" w:rsidRDefault="00000000">
      <w:pPr>
        <w:jc w:val="both"/>
      </w:pPr>
      <w:r>
        <w:t>Primljene zadužnice i garancije u 2024. godine iznose 9.779.626,02 EUR, dok izdane zadužnice i garancije iznose 108.779.245,58 EUR. Budući da je navedeno pogrešno knjiženo i na dugovnoj i na potražnoj strani, kako je već gore pojašnjeno, ukupan saldo na tom kontu iznosio je 98.999.619,56 EUR, ali na dugovnoj strani. Sva ostala salda na ovdje su iskazana na potražnoj strani, pa je tako pogrešan iskazan samo krajnji saldo od 55.109.241,15 EUR, a koji je ovdje detaljno razjašnjen.</w:t>
      </w:r>
    </w:p>
    <w:p w14:paraId="77C36460" w14:textId="77777777" w:rsidR="00AF6B6A" w:rsidRDefault="00000000">
      <w:pPr>
        <w:jc w:val="both"/>
      </w:pPr>
      <w:r>
        <w:t>Izvanbilančna evidencija dugoročnih ugovora za 2024. godinu iznosi 36.597.280,01 EUR, dok izvanbilančna evidencija sudskih sporova iznosi 6.767.725,44 EUR. </w:t>
      </w:r>
    </w:p>
    <w:p w14:paraId="1DEEB834" w14:textId="77777777" w:rsidR="00AF6B6A" w:rsidRDefault="00AF6B6A"/>
    <w:p w14:paraId="6A1D6A25" w14:textId="77777777" w:rsidR="00AF6B6A" w:rsidRDefault="00000000">
      <w:pPr>
        <w:keepNext/>
        <w:spacing w:line="240" w:lineRule="auto"/>
        <w:jc w:val="center"/>
      </w:pPr>
      <w:r>
        <w:rPr>
          <w:sz w:val="28"/>
        </w:rPr>
        <w:t>Bilješka 115.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412998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7E03AF"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5FF5D0"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6610F7"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A5BCDB"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4AF154"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3190034" w14:textId="77777777" w:rsidR="00AF6B6A" w:rsidRDefault="00000000">
            <w:pPr>
              <w:keepNext/>
              <w:keepLines/>
              <w:spacing w:after="0" w:line="240" w:lineRule="auto"/>
              <w:jc w:val="center"/>
            </w:pPr>
            <w:r>
              <w:rPr>
                <w:b/>
                <w:sz w:val="18"/>
              </w:rPr>
              <w:t>Indeks (%)</w:t>
            </w:r>
          </w:p>
        </w:tc>
      </w:tr>
      <w:tr w:rsidR="00AF6B6A" w14:paraId="4B388D95" w14:textId="77777777">
        <w:tblPrEx>
          <w:tblCellMar>
            <w:top w:w="0" w:type="dxa"/>
            <w:bottom w:w="0" w:type="dxa"/>
          </w:tblCellMar>
        </w:tblPrEx>
        <w:trPr>
          <w:cantSplit/>
          <w:trHeight w:val="560"/>
        </w:trPr>
        <w:tc>
          <w:tcPr>
            <w:tcW w:w="700" w:type="dxa"/>
            <w:tcMar>
              <w:top w:w="0" w:type="dxa"/>
              <w:bottom w:w="0" w:type="dxa"/>
            </w:tcMar>
            <w:vAlign w:val="center"/>
          </w:tcPr>
          <w:p w14:paraId="73D8602A" w14:textId="77777777" w:rsidR="00AF6B6A" w:rsidRDefault="00000000">
            <w:pPr>
              <w:keepNext/>
              <w:keepLines/>
              <w:spacing w:after="0" w:line="240" w:lineRule="auto"/>
            </w:pPr>
            <w:r>
              <w:rPr>
                <w:sz w:val="18"/>
              </w:rPr>
              <w:t>99651</w:t>
            </w:r>
          </w:p>
        </w:tc>
        <w:tc>
          <w:tcPr>
            <w:tcW w:w="3180" w:type="dxa"/>
            <w:tcMar>
              <w:top w:w="0" w:type="dxa"/>
              <w:bottom w:w="0" w:type="dxa"/>
            </w:tcMar>
            <w:vAlign w:val="center"/>
          </w:tcPr>
          <w:p w14:paraId="4EEE2E15" w14:textId="77777777" w:rsidR="00AF6B6A" w:rsidRDefault="00000000">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226ABB2A" w14:textId="77777777" w:rsidR="00AF6B6A" w:rsidRDefault="00000000">
            <w:pPr>
              <w:keepNext/>
              <w:keepLines/>
              <w:spacing w:after="0" w:line="240" w:lineRule="auto"/>
            </w:pPr>
            <w:r>
              <w:rPr>
                <w:sz w:val="18"/>
              </w:rPr>
              <w:t>99651</w:t>
            </w:r>
          </w:p>
        </w:tc>
        <w:tc>
          <w:tcPr>
            <w:tcW w:w="1860" w:type="dxa"/>
            <w:tcMar>
              <w:top w:w="0" w:type="dxa"/>
              <w:bottom w:w="0" w:type="dxa"/>
            </w:tcMar>
            <w:vAlign w:val="center"/>
          </w:tcPr>
          <w:p w14:paraId="739B046F" w14:textId="77777777" w:rsidR="00AF6B6A" w:rsidRDefault="00000000">
            <w:pPr>
              <w:keepNext/>
              <w:keepLines/>
              <w:spacing w:after="0" w:line="240" w:lineRule="auto"/>
              <w:jc w:val="right"/>
            </w:pPr>
            <w:r>
              <w:rPr>
                <w:sz w:val="18"/>
              </w:rPr>
              <w:t>0,00</w:t>
            </w:r>
          </w:p>
        </w:tc>
        <w:tc>
          <w:tcPr>
            <w:tcW w:w="1860" w:type="dxa"/>
            <w:tcMar>
              <w:top w:w="0" w:type="dxa"/>
              <w:bottom w:w="0" w:type="dxa"/>
            </w:tcMar>
            <w:vAlign w:val="center"/>
          </w:tcPr>
          <w:p w14:paraId="1D060FC9" w14:textId="77777777" w:rsidR="00AF6B6A" w:rsidRDefault="00000000">
            <w:pPr>
              <w:keepNext/>
              <w:keepLines/>
              <w:spacing w:after="0" w:line="240" w:lineRule="auto"/>
              <w:jc w:val="right"/>
            </w:pPr>
            <w:r>
              <w:rPr>
                <w:sz w:val="18"/>
              </w:rPr>
              <w:t>1.151.117,21</w:t>
            </w:r>
          </w:p>
        </w:tc>
        <w:tc>
          <w:tcPr>
            <w:tcW w:w="700" w:type="dxa"/>
            <w:tcMar>
              <w:top w:w="0" w:type="dxa"/>
              <w:bottom w:w="0" w:type="dxa"/>
            </w:tcMar>
            <w:vAlign w:val="center"/>
          </w:tcPr>
          <w:p w14:paraId="0C98566F" w14:textId="77777777" w:rsidR="00AF6B6A" w:rsidRDefault="00000000">
            <w:pPr>
              <w:keepNext/>
              <w:keepLines/>
              <w:spacing w:after="0" w:line="240" w:lineRule="auto"/>
              <w:jc w:val="right"/>
            </w:pPr>
            <w:r>
              <w:rPr>
                <w:sz w:val="18"/>
              </w:rPr>
              <w:t>-</w:t>
            </w:r>
          </w:p>
        </w:tc>
      </w:tr>
    </w:tbl>
    <w:p w14:paraId="539C5BE1" w14:textId="77777777" w:rsidR="00AF6B6A" w:rsidRDefault="00AF6B6A">
      <w:pPr>
        <w:spacing w:after="0"/>
      </w:pPr>
    </w:p>
    <w:p w14:paraId="307D9CE8" w14:textId="77777777" w:rsidR="00AF6B6A" w:rsidRDefault="00000000">
      <w:pPr>
        <w:jc w:val="both"/>
      </w:pPr>
      <w:r>
        <w:t>Na ostalim izvanbilančnim zapisima knjiženo je 1.151.117,21 EUR koji se odnose na potencijalne sudske sporove po kojima se očekuje obveza grada Varaždina za plaćanje u budućnosti. Značajno su smanjeni u toku 2025. godine, u 2024. godini iznosili su 6.767.725,44 EUR, ali je u toku 2025. godine Trgovački sud u Varaždinu donio presudu kojom se odbija tužbeni zahtjev tužitelja CE-ZA-R d.o.o. te se po navedenom sudskom sporu ne očekuje novčani odljev sredstava. </w:t>
      </w:r>
    </w:p>
    <w:p w14:paraId="5DF945C6" w14:textId="77777777" w:rsidR="00AF6B6A" w:rsidRDefault="00AF6B6A"/>
    <w:p w14:paraId="3EF6A06F" w14:textId="77777777" w:rsidR="00AF6B6A" w:rsidRDefault="00000000">
      <w:pPr>
        <w:keepNext/>
        <w:spacing w:line="240" w:lineRule="auto"/>
        <w:jc w:val="center"/>
      </w:pPr>
      <w:r>
        <w:rPr>
          <w:sz w:val="28"/>
        </w:rPr>
        <w:lastRenderedPageBreak/>
        <w:t>Bilješka 116.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F1779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75A48F"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36BA72"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9B7F9A"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7B2F21" w14:textId="77777777" w:rsidR="00AF6B6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8CBEC51" w14:textId="77777777" w:rsidR="00AF6B6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35A56A" w14:textId="77777777" w:rsidR="00AF6B6A" w:rsidRDefault="00000000">
            <w:pPr>
              <w:keepNext/>
              <w:keepLines/>
              <w:spacing w:after="0" w:line="240" w:lineRule="auto"/>
              <w:jc w:val="center"/>
            </w:pPr>
            <w:r>
              <w:rPr>
                <w:b/>
                <w:sz w:val="18"/>
              </w:rPr>
              <w:t>Indeks (%)</w:t>
            </w:r>
          </w:p>
        </w:tc>
      </w:tr>
      <w:tr w:rsidR="00AF6B6A" w14:paraId="6542040A" w14:textId="77777777">
        <w:tblPrEx>
          <w:tblCellMar>
            <w:top w:w="0" w:type="dxa"/>
            <w:bottom w:w="0" w:type="dxa"/>
          </w:tblCellMar>
        </w:tblPrEx>
        <w:trPr>
          <w:cantSplit/>
          <w:trHeight w:val="560"/>
        </w:trPr>
        <w:tc>
          <w:tcPr>
            <w:tcW w:w="700" w:type="dxa"/>
            <w:tcMar>
              <w:top w:w="0" w:type="dxa"/>
              <w:bottom w:w="0" w:type="dxa"/>
            </w:tcMar>
            <w:vAlign w:val="center"/>
          </w:tcPr>
          <w:p w14:paraId="22A29A3E" w14:textId="77777777" w:rsidR="00AF6B6A" w:rsidRDefault="00000000">
            <w:pPr>
              <w:keepNext/>
              <w:keepLines/>
              <w:spacing w:after="0" w:line="240" w:lineRule="auto"/>
            </w:pPr>
            <w:r>
              <w:rPr>
                <w:sz w:val="18"/>
              </w:rPr>
              <w:t>99691</w:t>
            </w:r>
          </w:p>
        </w:tc>
        <w:tc>
          <w:tcPr>
            <w:tcW w:w="3180" w:type="dxa"/>
            <w:tcMar>
              <w:top w:w="0" w:type="dxa"/>
              <w:bottom w:w="0" w:type="dxa"/>
            </w:tcMar>
            <w:vAlign w:val="center"/>
          </w:tcPr>
          <w:p w14:paraId="53040B33" w14:textId="77777777" w:rsidR="00AF6B6A" w:rsidRDefault="00000000">
            <w:pPr>
              <w:keepNext/>
              <w:keepLines/>
              <w:spacing w:after="0" w:line="240" w:lineRule="auto"/>
            </w:pPr>
            <w:r>
              <w:rPr>
                <w:sz w:val="18"/>
              </w:rPr>
              <w:t>Ostali izvanbilančni zapisi</w:t>
            </w:r>
          </w:p>
        </w:tc>
        <w:tc>
          <w:tcPr>
            <w:tcW w:w="700" w:type="dxa"/>
            <w:tcMar>
              <w:top w:w="0" w:type="dxa"/>
              <w:bottom w:w="0" w:type="dxa"/>
            </w:tcMar>
            <w:vAlign w:val="center"/>
          </w:tcPr>
          <w:p w14:paraId="5D2E72BA" w14:textId="77777777" w:rsidR="00AF6B6A" w:rsidRDefault="00000000">
            <w:pPr>
              <w:keepNext/>
              <w:keepLines/>
              <w:spacing w:after="0" w:line="240" w:lineRule="auto"/>
            </w:pPr>
            <w:r>
              <w:rPr>
                <w:sz w:val="18"/>
              </w:rPr>
              <w:t>99691</w:t>
            </w:r>
          </w:p>
        </w:tc>
        <w:tc>
          <w:tcPr>
            <w:tcW w:w="1860" w:type="dxa"/>
            <w:tcMar>
              <w:top w:w="0" w:type="dxa"/>
              <w:bottom w:w="0" w:type="dxa"/>
            </w:tcMar>
            <w:vAlign w:val="center"/>
          </w:tcPr>
          <w:p w14:paraId="59F4232F" w14:textId="77777777" w:rsidR="00AF6B6A" w:rsidRDefault="00000000">
            <w:pPr>
              <w:keepNext/>
              <w:keepLines/>
              <w:spacing w:after="0" w:line="240" w:lineRule="auto"/>
              <w:jc w:val="right"/>
            </w:pPr>
            <w:r>
              <w:rPr>
                <w:sz w:val="18"/>
              </w:rPr>
              <w:t>0,00</w:t>
            </w:r>
          </w:p>
        </w:tc>
        <w:tc>
          <w:tcPr>
            <w:tcW w:w="1860" w:type="dxa"/>
            <w:tcMar>
              <w:top w:w="0" w:type="dxa"/>
              <w:bottom w:w="0" w:type="dxa"/>
            </w:tcMar>
            <w:vAlign w:val="center"/>
          </w:tcPr>
          <w:p w14:paraId="05F6A535" w14:textId="77777777" w:rsidR="00AF6B6A" w:rsidRDefault="00000000">
            <w:pPr>
              <w:keepNext/>
              <w:keepLines/>
              <w:spacing w:after="0" w:line="240" w:lineRule="auto"/>
              <w:jc w:val="right"/>
            </w:pPr>
            <w:r>
              <w:rPr>
                <w:sz w:val="18"/>
              </w:rPr>
              <w:t>32.276.955,22</w:t>
            </w:r>
          </w:p>
        </w:tc>
        <w:tc>
          <w:tcPr>
            <w:tcW w:w="700" w:type="dxa"/>
            <w:tcMar>
              <w:top w:w="0" w:type="dxa"/>
              <w:bottom w:w="0" w:type="dxa"/>
            </w:tcMar>
            <w:vAlign w:val="center"/>
          </w:tcPr>
          <w:p w14:paraId="622CA1A4" w14:textId="77777777" w:rsidR="00AF6B6A" w:rsidRDefault="00000000">
            <w:pPr>
              <w:keepNext/>
              <w:keepLines/>
              <w:spacing w:after="0" w:line="240" w:lineRule="auto"/>
              <w:jc w:val="right"/>
            </w:pPr>
            <w:r>
              <w:rPr>
                <w:sz w:val="18"/>
              </w:rPr>
              <w:t>-</w:t>
            </w:r>
          </w:p>
        </w:tc>
      </w:tr>
    </w:tbl>
    <w:p w14:paraId="30A1F051" w14:textId="77777777" w:rsidR="00AF6B6A" w:rsidRDefault="00AF6B6A">
      <w:pPr>
        <w:spacing w:after="0"/>
      </w:pPr>
    </w:p>
    <w:p w14:paraId="4F8D107E" w14:textId="77777777" w:rsidR="00AF6B6A" w:rsidRDefault="00000000">
      <w:pPr>
        <w:jc w:val="both"/>
      </w:pPr>
      <w:r>
        <w:t>U sklopu ostalih izvanbilančnih zapisa knjiženi su ugovori po kojima se očekuje prihodi u budućnosti, ali se ne odnose na EU projekte - u iznosu od 322.560,22 EUR te dugoročni ugovori u iznosu od 31.954.395,00 EUR.</w:t>
      </w:r>
    </w:p>
    <w:p w14:paraId="71BE8D09" w14:textId="77777777" w:rsidR="00AF6B6A" w:rsidRDefault="00AF6B6A"/>
    <w:p w14:paraId="36357540" w14:textId="77777777" w:rsidR="00AF6B6A" w:rsidRDefault="00000000">
      <w:pPr>
        <w:keepNext/>
        <w:spacing w:line="240" w:lineRule="auto"/>
        <w:jc w:val="center"/>
      </w:pPr>
      <w:r>
        <w:rPr>
          <w:b/>
          <w:sz w:val="28"/>
        </w:rPr>
        <w:t>Izvještaj o rashodima prema funkcijskoj klasifikaciji</w:t>
      </w:r>
    </w:p>
    <w:p w14:paraId="3BDFF024" w14:textId="77777777" w:rsidR="00AF6B6A" w:rsidRDefault="00000000">
      <w:pPr>
        <w:keepNext/>
        <w:spacing w:line="240" w:lineRule="auto"/>
        <w:jc w:val="center"/>
      </w:pPr>
      <w:r>
        <w:rPr>
          <w:sz w:val="28"/>
        </w:rPr>
        <w:t>Bilješka 117.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79EC92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0C7164"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66DAC7"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E3C8C7"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9A54E1" w14:textId="77777777" w:rsidR="00AF6B6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B72CBB" w14:textId="77777777" w:rsidR="00AF6B6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3BD87B" w14:textId="77777777" w:rsidR="00AF6B6A" w:rsidRDefault="00000000">
            <w:pPr>
              <w:keepNext/>
              <w:keepLines/>
              <w:spacing w:after="0" w:line="240" w:lineRule="auto"/>
              <w:jc w:val="center"/>
            </w:pPr>
            <w:r>
              <w:rPr>
                <w:b/>
                <w:sz w:val="18"/>
              </w:rPr>
              <w:t>Indeks (%)</w:t>
            </w:r>
          </w:p>
        </w:tc>
      </w:tr>
      <w:tr w:rsidR="00AF6B6A" w14:paraId="0263CFC1" w14:textId="77777777">
        <w:tblPrEx>
          <w:tblCellMar>
            <w:top w:w="0" w:type="dxa"/>
            <w:bottom w:w="0" w:type="dxa"/>
          </w:tblCellMar>
        </w:tblPrEx>
        <w:trPr>
          <w:cantSplit/>
          <w:trHeight w:val="560"/>
        </w:trPr>
        <w:tc>
          <w:tcPr>
            <w:tcW w:w="700" w:type="dxa"/>
            <w:tcMar>
              <w:top w:w="0" w:type="dxa"/>
              <w:bottom w:w="0" w:type="dxa"/>
            </w:tcMar>
            <w:vAlign w:val="center"/>
          </w:tcPr>
          <w:p w14:paraId="03B51626" w14:textId="77777777" w:rsidR="00AF6B6A" w:rsidRDefault="00AF6B6A">
            <w:pPr>
              <w:keepNext/>
              <w:keepLines/>
              <w:spacing w:after="0" w:line="240" w:lineRule="auto"/>
            </w:pPr>
          </w:p>
        </w:tc>
        <w:tc>
          <w:tcPr>
            <w:tcW w:w="3180" w:type="dxa"/>
            <w:tcMar>
              <w:top w:w="0" w:type="dxa"/>
              <w:bottom w:w="0" w:type="dxa"/>
            </w:tcMar>
            <w:vAlign w:val="center"/>
          </w:tcPr>
          <w:p w14:paraId="551F6D9F" w14:textId="77777777" w:rsidR="00AF6B6A"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31BD40FB" w14:textId="77777777" w:rsidR="00AF6B6A" w:rsidRDefault="00000000">
            <w:pPr>
              <w:keepNext/>
              <w:keepLines/>
              <w:spacing w:after="0" w:line="240" w:lineRule="auto"/>
            </w:pPr>
            <w:r>
              <w:rPr>
                <w:sz w:val="18"/>
              </w:rPr>
              <w:t>R1</w:t>
            </w:r>
          </w:p>
        </w:tc>
        <w:tc>
          <w:tcPr>
            <w:tcW w:w="1860" w:type="dxa"/>
            <w:tcMar>
              <w:top w:w="0" w:type="dxa"/>
              <w:bottom w:w="0" w:type="dxa"/>
            </w:tcMar>
            <w:vAlign w:val="center"/>
          </w:tcPr>
          <w:p w14:paraId="4472BD51" w14:textId="77777777" w:rsidR="00AF6B6A" w:rsidRDefault="00000000">
            <w:pPr>
              <w:keepNext/>
              <w:keepLines/>
              <w:spacing w:after="0" w:line="240" w:lineRule="auto"/>
              <w:jc w:val="right"/>
            </w:pPr>
            <w:r>
              <w:rPr>
                <w:sz w:val="18"/>
              </w:rPr>
              <w:t>52.826.361,55</w:t>
            </w:r>
          </w:p>
        </w:tc>
        <w:tc>
          <w:tcPr>
            <w:tcW w:w="1860" w:type="dxa"/>
            <w:tcMar>
              <w:top w:w="0" w:type="dxa"/>
              <w:bottom w:w="0" w:type="dxa"/>
            </w:tcMar>
            <w:vAlign w:val="center"/>
          </w:tcPr>
          <w:p w14:paraId="00D5A7FE" w14:textId="77777777" w:rsidR="00AF6B6A" w:rsidRDefault="00000000">
            <w:pPr>
              <w:keepNext/>
              <w:keepLines/>
              <w:spacing w:after="0" w:line="240" w:lineRule="auto"/>
              <w:jc w:val="right"/>
            </w:pPr>
            <w:r>
              <w:rPr>
                <w:sz w:val="18"/>
              </w:rPr>
              <w:t>58.600.783,00</w:t>
            </w:r>
          </w:p>
        </w:tc>
        <w:tc>
          <w:tcPr>
            <w:tcW w:w="700" w:type="dxa"/>
            <w:tcMar>
              <w:top w:w="0" w:type="dxa"/>
              <w:bottom w:w="0" w:type="dxa"/>
            </w:tcMar>
            <w:vAlign w:val="center"/>
          </w:tcPr>
          <w:p w14:paraId="1F9A6D67" w14:textId="77777777" w:rsidR="00AF6B6A" w:rsidRDefault="00000000">
            <w:pPr>
              <w:keepNext/>
              <w:keepLines/>
              <w:spacing w:after="0" w:line="240" w:lineRule="auto"/>
              <w:jc w:val="right"/>
            </w:pPr>
            <w:r>
              <w:rPr>
                <w:sz w:val="18"/>
              </w:rPr>
              <w:t>110,9</w:t>
            </w:r>
          </w:p>
        </w:tc>
      </w:tr>
    </w:tbl>
    <w:p w14:paraId="4A25DB18" w14:textId="77777777" w:rsidR="00AF6B6A" w:rsidRDefault="00AF6B6A">
      <w:pPr>
        <w:spacing w:after="0"/>
      </w:pPr>
    </w:p>
    <w:p w14:paraId="2952FDDA" w14:textId="77777777" w:rsidR="00AF6B6A" w:rsidRDefault="00000000">
      <w:pPr>
        <w:jc w:val="both"/>
      </w:pPr>
      <w:r>
        <w:t>Ukupni rashodi prema funkcijskoj klasifikaciji iznose 58.600.783,00 EUR. Ukupni rashodi poslovanja iznose 60.542.306,84 EUR, od čega prijenosi proračunskim korisnicima iz nadležnog poračuna za financiranje redovne djelatnosti iznose 21.110.045,26 EUR te su rashodi prema funkcijskoj klasifikaciji umanjeni za navedene prijenose te uvećani za rashode za nabavu nefinancijske imovine koji iznose 19.168.521,42 EUR. </w:t>
      </w:r>
    </w:p>
    <w:p w14:paraId="6FE169FC" w14:textId="77777777" w:rsidR="00AF6B6A" w:rsidRDefault="00AF6B6A"/>
    <w:p w14:paraId="35ABE7ED" w14:textId="77777777" w:rsidR="00AF6B6A" w:rsidRDefault="00000000">
      <w:pPr>
        <w:keepNext/>
        <w:spacing w:line="240" w:lineRule="auto"/>
        <w:jc w:val="center"/>
      </w:pPr>
      <w:r>
        <w:rPr>
          <w:b/>
          <w:sz w:val="28"/>
        </w:rPr>
        <w:t>Promjene u vrijednosti i obujmu imovine i obveza</w:t>
      </w:r>
    </w:p>
    <w:p w14:paraId="1EED40D9" w14:textId="77777777" w:rsidR="00AF6B6A" w:rsidRDefault="00000000">
      <w:pPr>
        <w:keepNext/>
        <w:spacing w:line="240" w:lineRule="auto"/>
        <w:jc w:val="center"/>
      </w:pPr>
      <w:r>
        <w:rPr>
          <w:sz w:val="28"/>
        </w:rPr>
        <w:t>Bilješka 118.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5A4C45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DD7ED4"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57551E"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695263"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8A8EC9" w14:textId="77777777" w:rsidR="00AF6B6A"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894814C" w14:textId="77777777" w:rsidR="00AF6B6A"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4311701" w14:textId="77777777" w:rsidR="00AF6B6A" w:rsidRDefault="00000000">
            <w:pPr>
              <w:keepNext/>
              <w:keepLines/>
              <w:spacing w:after="0" w:line="240" w:lineRule="auto"/>
              <w:jc w:val="center"/>
            </w:pPr>
            <w:r>
              <w:rPr>
                <w:b/>
                <w:sz w:val="18"/>
              </w:rPr>
              <w:t>Indeks (%)</w:t>
            </w:r>
          </w:p>
        </w:tc>
      </w:tr>
      <w:tr w:rsidR="00AF6B6A" w14:paraId="6D872432" w14:textId="77777777">
        <w:tblPrEx>
          <w:tblCellMar>
            <w:top w:w="0" w:type="dxa"/>
            <w:bottom w:w="0" w:type="dxa"/>
          </w:tblCellMar>
        </w:tblPrEx>
        <w:trPr>
          <w:cantSplit/>
          <w:trHeight w:val="560"/>
        </w:trPr>
        <w:tc>
          <w:tcPr>
            <w:tcW w:w="700" w:type="dxa"/>
            <w:tcMar>
              <w:top w:w="0" w:type="dxa"/>
              <w:bottom w:w="0" w:type="dxa"/>
            </w:tcMar>
            <w:vAlign w:val="center"/>
          </w:tcPr>
          <w:p w14:paraId="3B0F3132" w14:textId="77777777" w:rsidR="00AF6B6A" w:rsidRDefault="00AF6B6A">
            <w:pPr>
              <w:keepNext/>
              <w:keepLines/>
              <w:spacing w:after="0" w:line="240" w:lineRule="auto"/>
            </w:pPr>
          </w:p>
        </w:tc>
        <w:tc>
          <w:tcPr>
            <w:tcW w:w="3180" w:type="dxa"/>
            <w:tcMar>
              <w:top w:w="0" w:type="dxa"/>
              <w:bottom w:w="0" w:type="dxa"/>
            </w:tcMar>
            <w:vAlign w:val="center"/>
          </w:tcPr>
          <w:p w14:paraId="50DF2E85" w14:textId="77777777" w:rsidR="00AF6B6A" w:rsidRDefault="00000000">
            <w:pPr>
              <w:keepNext/>
              <w:keepLines/>
              <w:spacing w:after="0" w:line="240" w:lineRule="auto"/>
            </w:pPr>
            <w:r>
              <w:rPr>
                <w:sz w:val="18"/>
              </w:rPr>
              <w:t>Neproizvedena dugotrajna imovina</w:t>
            </w:r>
          </w:p>
        </w:tc>
        <w:tc>
          <w:tcPr>
            <w:tcW w:w="700" w:type="dxa"/>
            <w:tcMar>
              <w:top w:w="0" w:type="dxa"/>
              <w:bottom w:w="0" w:type="dxa"/>
            </w:tcMar>
            <w:vAlign w:val="center"/>
          </w:tcPr>
          <w:p w14:paraId="1D08789D" w14:textId="77777777" w:rsidR="00AF6B6A" w:rsidRDefault="00000000">
            <w:pPr>
              <w:keepNext/>
              <w:keepLines/>
              <w:spacing w:after="0" w:line="240" w:lineRule="auto"/>
            </w:pPr>
            <w:r>
              <w:rPr>
                <w:sz w:val="18"/>
              </w:rPr>
              <w:t>P002</w:t>
            </w:r>
          </w:p>
        </w:tc>
        <w:tc>
          <w:tcPr>
            <w:tcW w:w="1860" w:type="dxa"/>
            <w:tcMar>
              <w:top w:w="0" w:type="dxa"/>
              <w:bottom w:w="0" w:type="dxa"/>
            </w:tcMar>
            <w:vAlign w:val="center"/>
          </w:tcPr>
          <w:p w14:paraId="6907DFC5" w14:textId="77777777" w:rsidR="00AF6B6A" w:rsidRDefault="00000000">
            <w:pPr>
              <w:keepNext/>
              <w:keepLines/>
              <w:spacing w:after="0" w:line="240" w:lineRule="auto"/>
              <w:jc w:val="right"/>
            </w:pPr>
            <w:r>
              <w:rPr>
                <w:sz w:val="18"/>
              </w:rPr>
              <w:t>0,00</w:t>
            </w:r>
          </w:p>
        </w:tc>
        <w:tc>
          <w:tcPr>
            <w:tcW w:w="1860" w:type="dxa"/>
            <w:tcMar>
              <w:top w:w="0" w:type="dxa"/>
              <w:bottom w:w="0" w:type="dxa"/>
            </w:tcMar>
            <w:vAlign w:val="center"/>
          </w:tcPr>
          <w:p w14:paraId="6E20865E" w14:textId="77777777" w:rsidR="00AF6B6A" w:rsidRDefault="00000000">
            <w:pPr>
              <w:keepNext/>
              <w:keepLines/>
              <w:spacing w:after="0" w:line="240" w:lineRule="auto"/>
              <w:jc w:val="right"/>
            </w:pPr>
            <w:r>
              <w:rPr>
                <w:sz w:val="18"/>
              </w:rPr>
              <w:t>825.579,98</w:t>
            </w:r>
          </w:p>
        </w:tc>
        <w:tc>
          <w:tcPr>
            <w:tcW w:w="700" w:type="dxa"/>
            <w:tcMar>
              <w:top w:w="0" w:type="dxa"/>
              <w:bottom w:w="0" w:type="dxa"/>
            </w:tcMar>
            <w:vAlign w:val="center"/>
          </w:tcPr>
          <w:p w14:paraId="70CFC360" w14:textId="77777777" w:rsidR="00AF6B6A" w:rsidRDefault="00000000">
            <w:pPr>
              <w:keepNext/>
              <w:keepLines/>
              <w:spacing w:after="0" w:line="240" w:lineRule="auto"/>
              <w:jc w:val="right"/>
            </w:pPr>
            <w:r>
              <w:rPr>
                <w:sz w:val="18"/>
              </w:rPr>
              <w:t>-</w:t>
            </w:r>
          </w:p>
        </w:tc>
      </w:tr>
    </w:tbl>
    <w:p w14:paraId="748488C6" w14:textId="77777777" w:rsidR="00AF6B6A" w:rsidRDefault="00AF6B6A">
      <w:pPr>
        <w:spacing w:after="0"/>
      </w:pPr>
    </w:p>
    <w:p w14:paraId="1B800274" w14:textId="77777777" w:rsidR="00AF6B6A" w:rsidRDefault="00000000">
      <w:pPr>
        <w:jc w:val="both"/>
      </w:pPr>
      <w:r>
        <w:t>Iznos smanjenja neproizvedene dugotrajne imovine odnosi se u iznosu 825.579,98 EUR na ispravak vrijednosti neproizvedene dugotrajne imovine. </w:t>
      </w:r>
    </w:p>
    <w:p w14:paraId="18EACC9F" w14:textId="77777777" w:rsidR="00AF6B6A" w:rsidRDefault="00000000">
      <w:r>
        <w:t> </w:t>
      </w:r>
    </w:p>
    <w:p w14:paraId="02B8B73F" w14:textId="77777777" w:rsidR="00AF6B6A" w:rsidRDefault="00AF6B6A"/>
    <w:p w14:paraId="035AAA4E" w14:textId="77777777" w:rsidR="00AF6B6A" w:rsidRDefault="00000000">
      <w:pPr>
        <w:keepNext/>
        <w:spacing w:line="240" w:lineRule="auto"/>
        <w:jc w:val="center"/>
      </w:pPr>
      <w:r>
        <w:rPr>
          <w:sz w:val="28"/>
        </w:rPr>
        <w:lastRenderedPageBreak/>
        <w:t>Bilješka 119.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046305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443194"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2ED0EC"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11DA4E"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F0C3D2" w14:textId="77777777" w:rsidR="00AF6B6A"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8950ED4" w14:textId="77777777" w:rsidR="00AF6B6A"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966B60E" w14:textId="77777777" w:rsidR="00AF6B6A" w:rsidRDefault="00000000">
            <w:pPr>
              <w:keepNext/>
              <w:keepLines/>
              <w:spacing w:after="0" w:line="240" w:lineRule="auto"/>
              <w:jc w:val="center"/>
            </w:pPr>
            <w:r>
              <w:rPr>
                <w:b/>
                <w:sz w:val="18"/>
              </w:rPr>
              <w:t>Indeks (%)</w:t>
            </w:r>
          </w:p>
        </w:tc>
      </w:tr>
      <w:tr w:rsidR="00AF6B6A" w14:paraId="2B2CA6EC" w14:textId="77777777">
        <w:tblPrEx>
          <w:tblCellMar>
            <w:top w:w="0" w:type="dxa"/>
            <w:bottom w:w="0" w:type="dxa"/>
          </w:tblCellMar>
        </w:tblPrEx>
        <w:trPr>
          <w:cantSplit/>
          <w:trHeight w:val="560"/>
        </w:trPr>
        <w:tc>
          <w:tcPr>
            <w:tcW w:w="700" w:type="dxa"/>
            <w:tcMar>
              <w:top w:w="0" w:type="dxa"/>
              <w:bottom w:w="0" w:type="dxa"/>
            </w:tcMar>
            <w:vAlign w:val="center"/>
          </w:tcPr>
          <w:p w14:paraId="65C9DA12" w14:textId="77777777" w:rsidR="00AF6B6A" w:rsidRDefault="00AF6B6A">
            <w:pPr>
              <w:keepNext/>
              <w:keepLines/>
              <w:spacing w:after="0" w:line="240" w:lineRule="auto"/>
            </w:pPr>
          </w:p>
        </w:tc>
        <w:tc>
          <w:tcPr>
            <w:tcW w:w="3180" w:type="dxa"/>
            <w:tcMar>
              <w:top w:w="0" w:type="dxa"/>
              <w:bottom w:w="0" w:type="dxa"/>
            </w:tcMar>
            <w:vAlign w:val="center"/>
          </w:tcPr>
          <w:p w14:paraId="0BBFDF20" w14:textId="77777777" w:rsidR="00AF6B6A"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5ADF8865" w14:textId="77777777" w:rsidR="00AF6B6A" w:rsidRDefault="00000000">
            <w:pPr>
              <w:keepNext/>
              <w:keepLines/>
              <w:spacing w:after="0" w:line="240" w:lineRule="auto"/>
            </w:pPr>
            <w:r>
              <w:rPr>
                <w:sz w:val="18"/>
              </w:rPr>
              <w:t>P003</w:t>
            </w:r>
          </w:p>
        </w:tc>
        <w:tc>
          <w:tcPr>
            <w:tcW w:w="1860" w:type="dxa"/>
            <w:tcMar>
              <w:top w:w="0" w:type="dxa"/>
              <w:bottom w:w="0" w:type="dxa"/>
            </w:tcMar>
            <w:vAlign w:val="center"/>
          </w:tcPr>
          <w:p w14:paraId="4C806641" w14:textId="77777777" w:rsidR="00AF6B6A" w:rsidRDefault="00000000">
            <w:pPr>
              <w:keepNext/>
              <w:keepLines/>
              <w:spacing w:after="0" w:line="240" w:lineRule="auto"/>
              <w:jc w:val="right"/>
            </w:pPr>
            <w:r>
              <w:rPr>
                <w:sz w:val="18"/>
              </w:rPr>
              <w:t>0,00</w:t>
            </w:r>
          </w:p>
        </w:tc>
        <w:tc>
          <w:tcPr>
            <w:tcW w:w="1860" w:type="dxa"/>
            <w:tcMar>
              <w:top w:w="0" w:type="dxa"/>
              <w:bottom w:w="0" w:type="dxa"/>
            </w:tcMar>
            <w:vAlign w:val="center"/>
          </w:tcPr>
          <w:p w14:paraId="74DFA41A" w14:textId="77777777" w:rsidR="00AF6B6A" w:rsidRDefault="00000000">
            <w:pPr>
              <w:keepNext/>
              <w:keepLines/>
              <w:spacing w:after="0" w:line="240" w:lineRule="auto"/>
              <w:jc w:val="right"/>
            </w:pPr>
            <w:r>
              <w:rPr>
                <w:sz w:val="18"/>
              </w:rPr>
              <w:t>7.917.103,44</w:t>
            </w:r>
          </w:p>
        </w:tc>
        <w:tc>
          <w:tcPr>
            <w:tcW w:w="700" w:type="dxa"/>
            <w:tcMar>
              <w:top w:w="0" w:type="dxa"/>
              <w:bottom w:w="0" w:type="dxa"/>
            </w:tcMar>
            <w:vAlign w:val="center"/>
          </w:tcPr>
          <w:p w14:paraId="42A76724" w14:textId="77777777" w:rsidR="00AF6B6A" w:rsidRDefault="00000000">
            <w:pPr>
              <w:keepNext/>
              <w:keepLines/>
              <w:spacing w:after="0" w:line="240" w:lineRule="auto"/>
              <w:jc w:val="right"/>
            </w:pPr>
            <w:r>
              <w:rPr>
                <w:sz w:val="18"/>
              </w:rPr>
              <w:t>-</w:t>
            </w:r>
          </w:p>
        </w:tc>
      </w:tr>
    </w:tbl>
    <w:p w14:paraId="6B0C7337" w14:textId="77777777" w:rsidR="00AF6B6A" w:rsidRDefault="00AF6B6A">
      <w:pPr>
        <w:spacing w:after="0"/>
      </w:pPr>
    </w:p>
    <w:p w14:paraId="57ACE9C2" w14:textId="77777777" w:rsidR="00AF6B6A" w:rsidRDefault="00000000">
      <w:r>
        <w:t>Iznos smanjenja proizvedene dugotrajne imovine odnosi se u iznosu 7.917.023,46  EUR na ispravak vrijednosti proizvedene dugotrajne imovine, dok se iznos od 79,98 EUR odnosi na isknjiženje računala i računalne opreme (konto 02211)  i opreme za održavanje i zaštitu (konto 02231) iz poslovnih knjiga grada Varaždina, a koja je u trenutku isknjiženja imala sadašnju vrijednost u navedenom iznosu.</w:t>
      </w:r>
    </w:p>
    <w:p w14:paraId="1F909D28" w14:textId="77777777" w:rsidR="00AF6B6A" w:rsidRDefault="00AF6B6A"/>
    <w:p w14:paraId="09E9CDAB" w14:textId="77777777" w:rsidR="00AF6B6A" w:rsidRDefault="00000000">
      <w:pPr>
        <w:keepNext/>
        <w:spacing w:line="240" w:lineRule="auto"/>
        <w:jc w:val="center"/>
      </w:pPr>
      <w:r>
        <w:rPr>
          <w:sz w:val="28"/>
        </w:rPr>
        <w:t>Bilješka 120.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394FDC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83CD32"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63DA39"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B77522"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154436" w14:textId="77777777" w:rsidR="00AF6B6A"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8E6AFEE" w14:textId="77777777" w:rsidR="00AF6B6A"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4F80120" w14:textId="77777777" w:rsidR="00AF6B6A" w:rsidRDefault="00000000">
            <w:pPr>
              <w:keepNext/>
              <w:keepLines/>
              <w:spacing w:after="0" w:line="240" w:lineRule="auto"/>
              <w:jc w:val="center"/>
            </w:pPr>
            <w:r>
              <w:rPr>
                <w:b/>
                <w:sz w:val="18"/>
              </w:rPr>
              <w:t>Indeks (%)</w:t>
            </w:r>
          </w:p>
        </w:tc>
      </w:tr>
      <w:tr w:rsidR="00AF6B6A" w14:paraId="2315AFB2" w14:textId="77777777">
        <w:tblPrEx>
          <w:tblCellMar>
            <w:top w:w="0" w:type="dxa"/>
            <w:bottom w:w="0" w:type="dxa"/>
          </w:tblCellMar>
        </w:tblPrEx>
        <w:trPr>
          <w:cantSplit/>
          <w:trHeight w:val="560"/>
        </w:trPr>
        <w:tc>
          <w:tcPr>
            <w:tcW w:w="700" w:type="dxa"/>
            <w:tcMar>
              <w:top w:w="0" w:type="dxa"/>
              <w:bottom w:w="0" w:type="dxa"/>
            </w:tcMar>
            <w:vAlign w:val="center"/>
          </w:tcPr>
          <w:p w14:paraId="47DB41B2" w14:textId="77777777" w:rsidR="00AF6B6A" w:rsidRDefault="00AF6B6A">
            <w:pPr>
              <w:keepNext/>
              <w:keepLines/>
              <w:spacing w:after="0" w:line="240" w:lineRule="auto"/>
            </w:pPr>
          </w:p>
        </w:tc>
        <w:tc>
          <w:tcPr>
            <w:tcW w:w="3180" w:type="dxa"/>
            <w:tcMar>
              <w:top w:w="0" w:type="dxa"/>
              <w:bottom w:w="0" w:type="dxa"/>
            </w:tcMar>
            <w:vAlign w:val="center"/>
          </w:tcPr>
          <w:p w14:paraId="41741C16" w14:textId="77777777" w:rsidR="00AF6B6A" w:rsidRDefault="00000000">
            <w:pPr>
              <w:keepNext/>
              <w:keepLines/>
              <w:spacing w:after="0" w:line="240" w:lineRule="auto"/>
            </w:pPr>
            <w:r>
              <w:rPr>
                <w:sz w:val="18"/>
              </w:rPr>
              <w:t>Financijski instrumenti - vrijednosni papiri</w:t>
            </w:r>
          </w:p>
        </w:tc>
        <w:tc>
          <w:tcPr>
            <w:tcW w:w="700" w:type="dxa"/>
            <w:tcMar>
              <w:top w:w="0" w:type="dxa"/>
              <w:bottom w:w="0" w:type="dxa"/>
            </w:tcMar>
            <w:vAlign w:val="center"/>
          </w:tcPr>
          <w:p w14:paraId="1E664A57" w14:textId="77777777" w:rsidR="00AF6B6A" w:rsidRDefault="00000000">
            <w:pPr>
              <w:keepNext/>
              <w:keepLines/>
              <w:spacing w:after="0" w:line="240" w:lineRule="auto"/>
            </w:pPr>
            <w:r>
              <w:rPr>
                <w:sz w:val="18"/>
              </w:rPr>
              <w:t>P027</w:t>
            </w:r>
          </w:p>
        </w:tc>
        <w:tc>
          <w:tcPr>
            <w:tcW w:w="1860" w:type="dxa"/>
            <w:tcMar>
              <w:top w:w="0" w:type="dxa"/>
              <w:bottom w:w="0" w:type="dxa"/>
            </w:tcMar>
            <w:vAlign w:val="center"/>
          </w:tcPr>
          <w:p w14:paraId="553EB6FB" w14:textId="77777777" w:rsidR="00AF6B6A" w:rsidRDefault="00000000">
            <w:pPr>
              <w:keepNext/>
              <w:keepLines/>
              <w:spacing w:after="0" w:line="240" w:lineRule="auto"/>
              <w:jc w:val="right"/>
            </w:pPr>
            <w:r>
              <w:rPr>
                <w:sz w:val="18"/>
              </w:rPr>
              <w:t>0,00</w:t>
            </w:r>
          </w:p>
        </w:tc>
        <w:tc>
          <w:tcPr>
            <w:tcW w:w="1860" w:type="dxa"/>
            <w:tcMar>
              <w:top w:w="0" w:type="dxa"/>
              <w:bottom w:w="0" w:type="dxa"/>
            </w:tcMar>
            <w:vAlign w:val="center"/>
          </w:tcPr>
          <w:p w14:paraId="61FEB10B" w14:textId="77777777" w:rsidR="00AF6B6A" w:rsidRDefault="00000000">
            <w:pPr>
              <w:keepNext/>
              <w:keepLines/>
              <w:spacing w:after="0" w:line="240" w:lineRule="auto"/>
              <w:jc w:val="right"/>
            </w:pPr>
            <w:r>
              <w:rPr>
                <w:sz w:val="18"/>
              </w:rPr>
              <w:t>21.235,65</w:t>
            </w:r>
          </w:p>
        </w:tc>
        <w:tc>
          <w:tcPr>
            <w:tcW w:w="700" w:type="dxa"/>
            <w:tcMar>
              <w:top w:w="0" w:type="dxa"/>
              <w:bottom w:w="0" w:type="dxa"/>
            </w:tcMar>
            <w:vAlign w:val="center"/>
          </w:tcPr>
          <w:p w14:paraId="02DAE87D" w14:textId="77777777" w:rsidR="00AF6B6A" w:rsidRDefault="00000000">
            <w:pPr>
              <w:keepNext/>
              <w:keepLines/>
              <w:spacing w:after="0" w:line="240" w:lineRule="auto"/>
              <w:jc w:val="right"/>
            </w:pPr>
            <w:r>
              <w:rPr>
                <w:sz w:val="18"/>
              </w:rPr>
              <w:t>-</w:t>
            </w:r>
          </w:p>
        </w:tc>
      </w:tr>
    </w:tbl>
    <w:p w14:paraId="1202008F" w14:textId="77777777" w:rsidR="00AF6B6A" w:rsidRDefault="00AF6B6A">
      <w:pPr>
        <w:spacing w:after="0"/>
      </w:pPr>
    </w:p>
    <w:p w14:paraId="71DC1D9A" w14:textId="77777777" w:rsidR="00AF6B6A" w:rsidRDefault="00000000">
      <w:pPr>
        <w:jc w:val="both"/>
      </w:pPr>
      <w:r>
        <w:t>Smanjenje u obujmu imovine na kontu financijskih instrumenata odnosi se na smanjenje vrijednosti zbog isknjiženja poslovnih udjela MAGME d.o.o., subjekta koji je brisan iz sudskog registra, pa samim time ne postoje uvjeti da poslovni udjeli postoje u poslovnim knjigama grada Varaždina.</w:t>
      </w:r>
    </w:p>
    <w:p w14:paraId="24688ADE" w14:textId="77777777" w:rsidR="00AF6B6A" w:rsidRDefault="00AF6B6A"/>
    <w:p w14:paraId="59A42C1B" w14:textId="77777777" w:rsidR="00AF6B6A" w:rsidRDefault="00000000">
      <w:pPr>
        <w:keepNext/>
        <w:spacing w:line="240" w:lineRule="auto"/>
        <w:jc w:val="center"/>
      </w:pPr>
      <w:r>
        <w:rPr>
          <w:sz w:val="28"/>
        </w:rPr>
        <w:t>Bilješka 121.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F6B6A" w14:paraId="67284F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3CF043"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D9F5C2"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B5EEE3"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9A6B61" w14:textId="77777777" w:rsidR="00AF6B6A"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F165E2E" w14:textId="77777777" w:rsidR="00AF6B6A"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827BA71" w14:textId="77777777" w:rsidR="00AF6B6A" w:rsidRDefault="00000000">
            <w:pPr>
              <w:keepNext/>
              <w:keepLines/>
              <w:spacing w:after="0" w:line="240" w:lineRule="auto"/>
              <w:jc w:val="center"/>
            </w:pPr>
            <w:r>
              <w:rPr>
                <w:b/>
                <w:sz w:val="18"/>
              </w:rPr>
              <w:t>Indeks (%)</w:t>
            </w:r>
          </w:p>
        </w:tc>
      </w:tr>
      <w:tr w:rsidR="00AF6B6A" w14:paraId="740CFEDE" w14:textId="77777777">
        <w:tblPrEx>
          <w:tblCellMar>
            <w:top w:w="0" w:type="dxa"/>
            <w:bottom w:w="0" w:type="dxa"/>
          </w:tblCellMar>
        </w:tblPrEx>
        <w:trPr>
          <w:cantSplit/>
          <w:trHeight w:val="560"/>
        </w:trPr>
        <w:tc>
          <w:tcPr>
            <w:tcW w:w="700" w:type="dxa"/>
            <w:tcMar>
              <w:top w:w="0" w:type="dxa"/>
              <w:bottom w:w="0" w:type="dxa"/>
            </w:tcMar>
            <w:vAlign w:val="center"/>
          </w:tcPr>
          <w:p w14:paraId="1081A208" w14:textId="77777777" w:rsidR="00AF6B6A" w:rsidRDefault="00AF6B6A">
            <w:pPr>
              <w:keepNext/>
              <w:keepLines/>
              <w:spacing w:after="0" w:line="240" w:lineRule="auto"/>
            </w:pPr>
          </w:p>
        </w:tc>
        <w:tc>
          <w:tcPr>
            <w:tcW w:w="3180" w:type="dxa"/>
            <w:tcMar>
              <w:top w:w="0" w:type="dxa"/>
              <w:bottom w:w="0" w:type="dxa"/>
            </w:tcMar>
            <w:vAlign w:val="center"/>
          </w:tcPr>
          <w:p w14:paraId="5831C866" w14:textId="77777777" w:rsidR="00AF6B6A" w:rsidRDefault="00000000">
            <w:pPr>
              <w:keepNext/>
              <w:keepLines/>
              <w:spacing w:after="0" w:line="240" w:lineRule="auto"/>
            </w:pPr>
            <w:r>
              <w:rPr>
                <w:sz w:val="18"/>
              </w:rPr>
              <w:t>Potraživanja za prihode poslovanja</w:t>
            </w:r>
          </w:p>
        </w:tc>
        <w:tc>
          <w:tcPr>
            <w:tcW w:w="700" w:type="dxa"/>
            <w:tcMar>
              <w:top w:w="0" w:type="dxa"/>
              <w:bottom w:w="0" w:type="dxa"/>
            </w:tcMar>
            <w:vAlign w:val="center"/>
          </w:tcPr>
          <w:p w14:paraId="08E1D370" w14:textId="77777777" w:rsidR="00AF6B6A" w:rsidRDefault="00000000">
            <w:pPr>
              <w:keepNext/>
              <w:keepLines/>
              <w:spacing w:after="0" w:line="240" w:lineRule="auto"/>
            </w:pPr>
            <w:r>
              <w:rPr>
                <w:sz w:val="18"/>
              </w:rPr>
              <w:t>P029</w:t>
            </w:r>
          </w:p>
        </w:tc>
        <w:tc>
          <w:tcPr>
            <w:tcW w:w="1860" w:type="dxa"/>
            <w:tcMar>
              <w:top w:w="0" w:type="dxa"/>
              <w:bottom w:w="0" w:type="dxa"/>
            </w:tcMar>
            <w:vAlign w:val="center"/>
          </w:tcPr>
          <w:p w14:paraId="5A79361E" w14:textId="77777777" w:rsidR="00AF6B6A" w:rsidRDefault="00000000">
            <w:pPr>
              <w:keepNext/>
              <w:keepLines/>
              <w:spacing w:after="0" w:line="240" w:lineRule="auto"/>
              <w:jc w:val="right"/>
            </w:pPr>
            <w:r>
              <w:rPr>
                <w:sz w:val="18"/>
              </w:rPr>
              <w:t>0,00</w:t>
            </w:r>
          </w:p>
        </w:tc>
        <w:tc>
          <w:tcPr>
            <w:tcW w:w="1860" w:type="dxa"/>
            <w:tcMar>
              <w:top w:w="0" w:type="dxa"/>
              <w:bottom w:w="0" w:type="dxa"/>
            </w:tcMar>
            <w:vAlign w:val="center"/>
          </w:tcPr>
          <w:p w14:paraId="771E1335" w14:textId="77777777" w:rsidR="00AF6B6A" w:rsidRDefault="00000000">
            <w:pPr>
              <w:keepNext/>
              <w:keepLines/>
              <w:spacing w:after="0" w:line="240" w:lineRule="auto"/>
              <w:jc w:val="right"/>
            </w:pPr>
            <w:r>
              <w:rPr>
                <w:sz w:val="18"/>
              </w:rPr>
              <w:t>111.802,67</w:t>
            </w:r>
          </w:p>
        </w:tc>
        <w:tc>
          <w:tcPr>
            <w:tcW w:w="700" w:type="dxa"/>
            <w:tcMar>
              <w:top w:w="0" w:type="dxa"/>
              <w:bottom w:w="0" w:type="dxa"/>
            </w:tcMar>
            <w:vAlign w:val="center"/>
          </w:tcPr>
          <w:p w14:paraId="57D3D130" w14:textId="77777777" w:rsidR="00AF6B6A" w:rsidRDefault="00000000">
            <w:pPr>
              <w:keepNext/>
              <w:keepLines/>
              <w:spacing w:after="0" w:line="240" w:lineRule="auto"/>
              <w:jc w:val="right"/>
            </w:pPr>
            <w:r>
              <w:rPr>
                <w:sz w:val="18"/>
              </w:rPr>
              <w:t>-</w:t>
            </w:r>
          </w:p>
        </w:tc>
      </w:tr>
    </w:tbl>
    <w:p w14:paraId="319A8216" w14:textId="77777777" w:rsidR="00AF6B6A" w:rsidRDefault="00AF6B6A">
      <w:pPr>
        <w:spacing w:after="0"/>
      </w:pPr>
    </w:p>
    <w:p w14:paraId="0F7D4E27" w14:textId="77777777" w:rsidR="00AF6B6A" w:rsidRDefault="00000000">
      <w:pPr>
        <w:jc w:val="both"/>
      </w:pPr>
      <w:r>
        <w:t>Potraživanja za prihode poslovanja smanjena su za 111.802,67 EUR. Sukladno Odluci Gradonačelnika Grada Varaždina, otpisana su nenaplativa i zastarjela potraživanja u iznosu od 111.802,67 EUR. </w:t>
      </w:r>
    </w:p>
    <w:p w14:paraId="552BDE92" w14:textId="77777777" w:rsidR="00AF6B6A" w:rsidRDefault="00000000">
      <w:pPr>
        <w:jc w:val="both"/>
      </w:pPr>
      <w:r>
        <w:t>Sukladno Odluci o otpisu nenaplativih i zastarjelih Grada Varaždina, otpisana su nenaplativa potraživanja naknade za uređenje voda u iznosu od 12.780,94 EUR, komunalne naknade u iznosu od 21.820,08 EUR te spomeničke rente u iznosu od 426,53 EUR. Radi se o potraživanjima evidentiranim do 31.12.2018. godine. Navedena odluka objavljena je u "Službenom vjesniku grada Varaždina", a rekapitulacija potraživanja iz navedene odluke, sastavni je dio Odluke. </w:t>
      </w:r>
    </w:p>
    <w:p w14:paraId="0F066DEB" w14:textId="77777777" w:rsidR="00AF6B6A" w:rsidRDefault="00000000">
      <w:pPr>
        <w:jc w:val="both"/>
      </w:pPr>
      <w:r>
        <w:lastRenderedPageBreak/>
        <w:t>Također, sukladno Odluci o otpisu nenaplativih i zastarjelih Grada Varaždina, otpisana su nenaplativa potraživanja s osnova zakupa poslovnog prostora u vlasništvu grada Varaždina u ukupnom iznosu od 76.775,12 EUR.  Navedena odluka objavljena je u "Službenom vjesniku grada Varaždina" te su u privitku odluke nalazi kartica analitike za svakog dužnika. </w:t>
      </w:r>
    </w:p>
    <w:p w14:paraId="04B392E9" w14:textId="77777777" w:rsidR="00AF6B6A" w:rsidRDefault="00AF6B6A"/>
    <w:p w14:paraId="7817B382" w14:textId="77777777" w:rsidR="00AF6B6A" w:rsidRDefault="00000000">
      <w:pPr>
        <w:keepNext/>
        <w:spacing w:line="240" w:lineRule="auto"/>
        <w:jc w:val="center"/>
      </w:pPr>
      <w:r>
        <w:rPr>
          <w:b/>
          <w:sz w:val="28"/>
        </w:rPr>
        <w:t>Izvještaj o obvezama</w:t>
      </w:r>
    </w:p>
    <w:p w14:paraId="404E6B47" w14:textId="77777777" w:rsidR="00AF6B6A" w:rsidRDefault="00000000">
      <w:pPr>
        <w:keepNext/>
        <w:spacing w:line="240" w:lineRule="auto"/>
        <w:jc w:val="center"/>
      </w:pPr>
      <w:r>
        <w:rPr>
          <w:sz w:val="28"/>
        </w:rPr>
        <w:t>Bilješka 122.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F6B6A" w14:paraId="295DBB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764FBF"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DE1AC5"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B5BCDF"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1BB7E4" w14:textId="77777777" w:rsidR="00AF6B6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C6A697D" w14:textId="77777777" w:rsidR="00AF6B6A" w:rsidRDefault="00000000">
            <w:pPr>
              <w:keepNext/>
              <w:keepLines/>
              <w:spacing w:after="0" w:line="240" w:lineRule="auto"/>
              <w:jc w:val="center"/>
            </w:pPr>
            <w:r>
              <w:rPr>
                <w:b/>
                <w:sz w:val="18"/>
              </w:rPr>
              <w:t>Indeks (%)</w:t>
            </w:r>
          </w:p>
        </w:tc>
      </w:tr>
      <w:tr w:rsidR="00AF6B6A" w14:paraId="58B8E416" w14:textId="77777777">
        <w:tblPrEx>
          <w:tblCellMar>
            <w:top w:w="0" w:type="dxa"/>
            <w:bottom w:w="0" w:type="dxa"/>
          </w:tblCellMar>
        </w:tblPrEx>
        <w:trPr>
          <w:cantSplit/>
          <w:trHeight w:val="560"/>
        </w:trPr>
        <w:tc>
          <w:tcPr>
            <w:tcW w:w="700" w:type="dxa"/>
            <w:tcMar>
              <w:top w:w="0" w:type="dxa"/>
              <w:bottom w:w="0" w:type="dxa"/>
            </w:tcMar>
            <w:vAlign w:val="center"/>
          </w:tcPr>
          <w:p w14:paraId="0BDE9981" w14:textId="77777777" w:rsidR="00AF6B6A" w:rsidRDefault="00AF6B6A">
            <w:pPr>
              <w:keepNext/>
              <w:keepLines/>
              <w:spacing w:after="0" w:line="240" w:lineRule="auto"/>
            </w:pPr>
          </w:p>
        </w:tc>
        <w:tc>
          <w:tcPr>
            <w:tcW w:w="3180" w:type="dxa"/>
            <w:tcMar>
              <w:top w:w="0" w:type="dxa"/>
              <w:bottom w:w="0" w:type="dxa"/>
            </w:tcMar>
            <w:vAlign w:val="center"/>
          </w:tcPr>
          <w:p w14:paraId="75B395EB" w14:textId="77777777" w:rsidR="00AF6B6A"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58B5116" w14:textId="77777777" w:rsidR="00AF6B6A" w:rsidRDefault="00000000">
            <w:pPr>
              <w:keepNext/>
              <w:keepLines/>
              <w:spacing w:after="0" w:line="240" w:lineRule="auto"/>
            </w:pPr>
            <w:r>
              <w:rPr>
                <w:sz w:val="18"/>
              </w:rPr>
              <w:t>V007</w:t>
            </w:r>
          </w:p>
        </w:tc>
        <w:tc>
          <w:tcPr>
            <w:tcW w:w="1860" w:type="dxa"/>
            <w:tcMar>
              <w:top w:w="0" w:type="dxa"/>
              <w:bottom w:w="0" w:type="dxa"/>
            </w:tcMar>
            <w:vAlign w:val="center"/>
          </w:tcPr>
          <w:p w14:paraId="4CB25E15" w14:textId="77777777" w:rsidR="00AF6B6A" w:rsidRDefault="00000000">
            <w:pPr>
              <w:keepNext/>
              <w:keepLines/>
              <w:spacing w:after="0" w:line="240" w:lineRule="auto"/>
              <w:jc w:val="right"/>
            </w:pPr>
            <w:r>
              <w:rPr>
                <w:sz w:val="18"/>
              </w:rPr>
              <w:t>583.153,57</w:t>
            </w:r>
          </w:p>
        </w:tc>
        <w:tc>
          <w:tcPr>
            <w:tcW w:w="700" w:type="dxa"/>
            <w:tcMar>
              <w:top w:w="0" w:type="dxa"/>
              <w:bottom w:w="0" w:type="dxa"/>
            </w:tcMar>
            <w:vAlign w:val="center"/>
          </w:tcPr>
          <w:p w14:paraId="71D02218" w14:textId="77777777" w:rsidR="00AF6B6A" w:rsidRDefault="00000000">
            <w:pPr>
              <w:keepNext/>
              <w:keepLines/>
              <w:spacing w:after="0" w:line="240" w:lineRule="auto"/>
              <w:jc w:val="right"/>
            </w:pPr>
            <w:r>
              <w:rPr>
                <w:sz w:val="18"/>
              </w:rPr>
              <w:t>-</w:t>
            </w:r>
          </w:p>
        </w:tc>
      </w:tr>
    </w:tbl>
    <w:p w14:paraId="4812F316" w14:textId="77777777" w:rsidR="00AF6B6A" w:rsidRDefault="00AF6B6A">
      <w:pPr>
        <w:spacing w:after="0"/>
      </w:pPr>
    </w:p>
    <w:p w14:paraId="1A047DB1" w14:textId="77777777" w:rsidR="00AF6B6A" w:rsidRDefault="00000000">
      <w:pPr>
        <w:jc w:val="both"/>
      </w:pPr>
      <w:r>
        <w:t>Stanje dospjelih obveza na kraju izvještajnog razdoblja 2025. godine iznosi 583.153,57 eura, dok stanje nedospjelih obveza iznosi 24.001.248,88 eura.</w:t>
      </w:r>
    </w:p>
    <w:p w14:paraId="3956BBF4" w14:textId="77777777" w:rsidR="00AF6B6A" w:rsidRDefault="00000000">
      <w:pPr>
        <w:jc w:val="both"/>
      </w:pPr>
      <w:r>
        <w:t>Dospjele obveze sa rokom dospijeća unutar 60 dana najvećim dijelom odnose se na obveze koje su dospjele u ovom razdoblju, ali zbog procedura koje je potrebno provesti prije plaćanja računa, nisu plaćene u roku u kojem je njihovo dospijeće te će biti plaćene u sljedećem razdoblju kada prođu sve potrebne procedure i kontrole.</w:t>
      </w:r>
    </w:p>
    <w:p w14:paraId="4F755283" w14:textId="77777777" w:rsidR="00AF6B6A" w:rsidRDefault="00000000">
      <w:pPr>
        <w:jc w:val="both"/>
      </w:pPr>
      <w:r>
        <w:t>Što se tiče obveza sa dosijećem od 181-360 dana, iznos od 217,22 eura dospjelih obveza odnosi se na nekoliko računa koji su knjiženi krajem godine po usklađenju Izvoda otvorenih stavki. Navedeni računi nisu pristigli u sustav e-računa te su knjiženi nakon pristiglog IOS-a i usklade. Obveze za financijske rashode u iznosu od 17.348,16 eura odnosi se na neplaćeni račun HP-HRVATSKE POŠTE D.D. u iznosu od 17.191,02 eura koji je knjižen kasnije te zbog toga nije plaćen u valuti. Također, račun od 157,14 eur za isplatu po keks pay-u također je knjižen kasnije te nije plaćen u valuti.</w:t>
      </w:r>
    </w:p>
    <w:p w14:paraId="62EB4162" w14:textId="77777777" w:rsidR="00AF6B6A" w:rsidRDefault="00000000">
      <w:pPr>
        <w:jc w:val="both"/>
      </w:pPr>
      <w:r>
        <w:t>Prekoračenje više od 360 dana na kontu 235 odnosi se na račun ARTE VITA u iznosu od 132,72 eura. Prekoračenje na kontu 239 odnosi se na Pučko otvoreno učilište u iznosu od 31.567,85 eura. U ova dva slučaja radi se o spornim obvezama koje će biti preispitane u toku 2026. godine te će nakon toga biti poduzeti potrebni koraci. </w:t>
      </w:r>
    </w:p>
    <w:p w14:paraId="7638259D" w14:textId="77777777" w:rsidR="00AF6B6A" w:rsidRDefault="00000000">
      <w:pPr>
        <w:jc w:val="both"/>
      </w:pPr>
      <w:r>
        <w:t>Prekoračenje na kontu 24 odnosi se na Ekos Alfu d.o.o. u iznosu od 22.851,51 eura. Ovdje se radi o ulaganju EKOS ALFE d.o.o. (EKOS HOLDING D.O.O.) u dugotrajnu imovinu te je aneksom Ugovora o zakupu poslovne prostorije dogovoreno da će za terećeni iznos izvršiti prijeboj sa potraživanjima Grada od EKOS ALFE d.o.o. (EKOS HOLDING D.O.O.) za zakup poslovih prostora.</w:t>
      </w:r>
    </w:p>
    <w:p w14:paraId="6307F025" w14:textId="77777777" w:rsidR="00AF6B6A" w:rsidRDefault="00AF6B6A"/>
    <w:p w14:paraId="42949BE0" w14:textId="77777777" w:rsidR="00AF6B6A" w:rsidRDefault="00000000">
      <w:pPr>
        <w:keepNext/>
        <w:spacing w:line="240" w:lineRule="auto"/>
        <w:jc w:val="center"/>
      </w:pPr>
      <w:r>
        <w:rPr>
          <w:sz w:val="28"/>
        </w:rPr>
        <w:lastRenderedPageBreak/>
        <w:t>Bilješka 123.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F6B6A" w14:paraId="232A29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2CB172"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A050C8"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47F7DA"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FC2EF4" w14:textId="77777777" w:rsidR="00AF6B6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0A2086E" w14:textId="77777777" w:rsidR="00AF6B6A" w:rsidRDefault="00000000">
            <w:pPr>
              <w:keepNext/>
              <w:keepLines/>
              <w:spacing w:after="0" w:line="240" w:lineRule="auto"/>
              <w:jc w:val="center"/>
            </w:pPr>
            <w:r>
              <w:rPr>
                <w:b/>
                <w:sz w:val="18"/>
              </w:rPr>
              <w:t>Indeks (%)</w:t>
            </w:r>
          </w:p>
        </w:tc>
      </w:tr>
      <w:tr w:rsidR="00AF6B6A" w14:paraId="011AF82F" w14:textId="77777777">
        <w:tblPrEx>
          <w:tblCellMar>
            <w:top w:w="0" w:type="dxa"/>
            <w:bottom w:w="0" w:type="dxa"/>
          </w:tblCellMar>
        </w:tblPrEx>
        <w:trPr>
          <w:cantSplit/>
          <w:trHeight w:val="560"/>
        </w:trPr>
        <w:tc>
          <w:tcPr>
            <w:tcW w:w="700" w:type="dxa"/>
            <w:tcMar>
              <w:top w:w="0" w:type="dxa"/>
              <w:bottom w:w="0" w:type="dxa"/>
            </w:tcMar>
            <w:vAlign w:val="center"/>
          </w:tcPr>
          <w:p w14:paraId="2395158C" w14:textId="77777777" w:rsidR="00AF6B6A" w:rsidRDefault="00000000">
            <w:pPr>
              <w:keepNext/>
              <w:keepLines/>
              <w:spacing w:after="0" w:line="240" w:lineRule="auto"/>
            </w:pPr>
            <w:r>
              <w:rPr>
                <w:sz w:val="18"/>
              </w:rPr>
              <w:t>23</w:t>
            </w:r>
          </w:p>
        </w:tc>
        <w:tc>
          <w:tcPr>
            <w:tcW w:w="3180" w:type="dxa"/>
            <w:tcMar>
              <w:top w:w="0" w:type="dxa"/>
              <w:bottom w:w="0" w:type="dxa"/>
            </w:tcMar>
            <w:vAlign w:val="center"/>
          </w:tcPr>
          <w:p w14:paraId="296864EB" w14:textId="77777777" w:rsidR="00AF6B6A"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24F442AC" w14:textId="77777777" w:rsidR="00AF6B6A" w:rsidRDefault="00000000">
            <w:pPr>
              <w:keepNext/>
              <w:keepLines/>
              <w:spacing w:after="0" w:line="240" w:lineRule="auto"/>
            </w:pPr>
            <w:r>
              <w:rPr>
                <w:sz w:val="18"/>
              </w:rPr>
              <w:t>ND23</w:t>
            </w:r>
          </w:p>
        </w:tc>
        <w:tc>
          <w:tcPr>
            <w:tcW w:w="1860" w:type="dxa"/>
            <w:tcMar>
              <w:top w:w="0" w:type="dxa"/>
              <w:bottom w:w="0" w:type="dxa"/>
            </w:tcMar>
            <w:vAlign w:val="center"/>
          </w:tcPr>
          <w:p w14:paraId="49AE75E8" w14:textId="77777777" w:rsidR="00AF6B6A" w:rsidRDefault="00000000">
            <w:pPr>
              <w:keepNext/>
              <w:keepLines/>
              <w:spacing w:after="0" w:line="240" w:lineRule="auto"/>
              <w:jc w:val="right"/>
            </w:pPr>
            <w:r>
              <w:rPr>
                <w:sz w:val="18"/>
              </w:rPr>
              <w:t>3.549.835,71</w:t>
            </w:r>
          </w:p>
        </w:tc>
        <w:tc>
          <w:tcPr>
            <w:tcW w:w="700" w:type="dxa"/>
            <w:tcMar>
              <w:top w:w="0" w:type="dxa"/>
              <w:bottom w:w="0" w:type="dxa"/>
            </w:tcMar>
            <w:vAlign w:val="center"/>
          </w:tcPr>
          <w:p w14:paraId="44EE32AD" w14:textId="77777777" w:rsidR="00AF6B6A" w:rsidRDefault="00000000">
            <w:pPr>
              <w:keepNext/>
              <w:keepLines/>
              <w:spacing w:after="0" w:line="240" w:lineRule="auto"/>
              <w:jc w:val="right"/>
            </w:pPr>
            <w:r>
              <w:rPr>
                <w:sz w:val="18"/>
              </w:rPr>
              <w:t>-</w:t>
            </w:r>
          </w:p>
        </w:tc>
      </w:tr>
    </w:tbl>
    <w:p w14:paraId="02AFD4AE" w14:textId="77777777" w:rsidR="00AF6B6A" w:rsidRDefault="00AF6B6A">
      <w:pPr>
        <w:spacing w:after="0"/>
      </w:pPr>
    </w:p>
    <w:p w14:paraId="2E7ED421" w14:textId="77777777" w:rsidR="00AF6B6A" w:rsidRDefault="00000000">
      <w:r>
        <w:t>Obveze za rashode poslovanja u iznosu od 3.549.835,71 EUR odnose se na nedospjele obveze za naknade plaća za prosinac 2025. godine, režijske troškove, troškove održavanja, investicija i ostale rashode poslovanja za koje su računi pristigli u prosincu i početkom siječnja, a valuta im je nakon 31.12.2025. godine. </w:t>
      </w:r>
    </w:p>
    <w:p w14:paraId="529CCED0" w14:textId="77777777" w:rsidR="00AF6B6A" w:rsidRDefault="00AF6B6A"/>
    <w:p w14:paraId="64B6E46E" w14:textId="77777777" w:rsidR="00AF6B6A" w:rsidRDefault="00000000">
      <w:pPr>
        <w:keepNext/>
        <w:spacing w:line="240" w:lineRule="auto"/>
        <w:jc w:val="center"/>
      </w:pPr>
      <w:r>
        <w:rPr>
          <w:sz w:val="28"/>
        </w:rPr>
        <w:t>Bilješka 124.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F6B6A" w14:paraId="6F8676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663078"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5E43A3"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558819"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5316A7" w14:textId="77777777" w:rsidR="00AF6B6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B98C9E7" w14:textId="77777777" w:rsidR="00AF6B6A" w:rsidRDefault="00000000">
            <w:pPr>
              <w:keepNext/>
              <w:keepLines/>
              <w:spacing w:after="0" w:line="240" w:lineRule="auto"/>
              <w:jc w:val="center"/>
            </w:pPr>
            <w:r>
              <w:rPr>
                <w:b/>
                <w:sz w:val="18"/>
              </w:rPr>
              <w:t>Indeks (%)</w:t>
            </w:r>
          </w:p>
        </w:tc>
      </w:tr>
      <w:tr w:rsidR="00AF6B6A" w14:paraId="689258D3" w14:textId="77777777">
        <w:tblPrEx>
          <w:tblCellMar>
            <w:top w:w="0" w:type="dxa"/>
            <w:bottom w:w="0" w:type="dxa"/>
          </w:tblCellMar>
        </w:tblPrEx>
        <w:trPr>
          <w:cantSplit/>
          <w:trHeight w:val="560"/>
        </w:trPr>
        <w:tc>
          <w:tcPr>
            <w:tcW w:w="700" w:type="dxa"/>
            <w:tcMar>
              <w:top w:w="0" w:type="dxa"/>
              <w:bottom w:w="0" w:type="dxa"/>
            </w:tcMar>
            <w:vAlign w:val="center"/>
          </w:tcPr>
          <w:p w14:paraId="147B7B04" w14:textId="77777777" w:rsidR="00AF6B6A" w:rsidRDefault="00000000">
            <w:pPr>
              <w:keepNext/>
              <w:keepLines/>
              <w:spacing w:after="0" w:line="240" w:lineRule="auto"/>
            </w:pPr>
            <w:r>
              <w:rPr>
                <w:sz w:val="18"/>
              </w:rPr>
              <w:t>24</w:t>
            </w:r>
          </w:p>
        </w:tc>
        <w:tc>
          <w:tcPr>
            <w:tcW w:w="3180" w:type="dxa"/>
            <w:tcMar>
              <w:top w:w="0" w:type="dxa"/>
              <w:bottom w:w="0" w:type="dxa"/>
            </w:tcMar>
            <w:vAlign w:val="center"/>
          </w:tcPr>
          <w:p w14:paraId="602AFC87" w14:textId="77777777" w:rsidR="00AF6B6A"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6C26AA19" w14:textId="77777777" w:rsidR="00AF6B6A" w:rsidRDefault="00000000">
            <w:pPr>
              <w:keepNext/>
              <w:keepLines/>
              <w:spacing w:after="0" w:line="240" w:lineRule="auto"/>
            </w:pPr>
            <w:r>
              <w:rPr>
                <w:sz w:val="18"/>
              </w:rPr>
              <w:t>ND24</w:t>
            </w:r>
          </w:p>
        </w:tc>
        <w:tc>
          <w:tcPr>
            <w:tcW w:w="1860" w:type="dxa"/>
            <w:tcMar>
              <w:top w:w="0" w:type="dxa"/>
              <w:bottom w:w="0" w:type="dxa"/>
            </w:tcMar>
            <w:vAlign w:val="center"/>
          </w:tcPr>
          <w:p w14:paraId="22585FDE" w14:textId="77777777" w:rsidR="00AF6B6A" w:rsidRDefault="00000000">
            <w:pPr>
              <w:keepNext/>
              <w:keepLines/>
              <w:spacing w:after="0" w:line="240" w:lineRule="auto"/>
              <w:jc w:val="right"/>
            </w:pPr>
            <w:r>
              <w:rPr>
                <w:sz w:val="18"/>
              </w:rPr>
              <w:t>2.085.251,52</w:t>
            </w:r>
          </w:p>
        </w:tc>
        <w:tc>
          <w:tcPr>
            <w:tcW w:w="700" w:type="dxa"/>
            <w:tcMar>
              <w:top w:w="0" w:type="dxa"/>
              <w:bottom w:w="0" w:type="dxa"/>
            </w:tcMar>
            <w:vAlign w:val="center"/>
          </w:tcPr>
          <w:p w14:paraId="336298F2" w14:textId="77777777" w:rsidR="00AF6B6A" w:rsidRDefault="00000000">
            <w:pPr>
              <w:keepNext/>
              <w:keepLines/>
              <w:spacing w:after="0" w:line="240" w:lineRule="auto"/>
              <w:jc w:val="right"/>
            </w:pPr>
            <w:r>
              <w:rPr>
                <w:sz w:val="18"/>
              </w:rPr>
              <w:t>-</w:t>
            </w:r>
          </w:p>
        </w:tc>
      </w:tr>
    </w:tbl>
    <w:p w14:paraId="5166797B" w14:textId="77777777" w:rsidR="00AF6B6A" w:rsidRDefault="00AF6B6A">
      <w:pPr>
        <w:spacing w:after="0"/>
      </w:pPr>
    </w:p>
    <w:p w14:paraId="634F53ED" w14:textId="77777777" w:rsidR="00AF6B6A" w:rsidRDefault="00000000">
      <w:r>
        <w:t>Obveze za nabavu nefinancijske imovine iznose 2.085.251,52 EUR i odnose se na račune čije je dospijeće u 2026. godini te će tada biti i podmireni.</w:t>
      </w:r>
    </w:p>
    <w:p w14:paraId="755388AE" w14:textId="77777777" w:rsidR="00AF6B6A" w:rsidRDefault="00AF6B6A"/>
    <w:p w14:paraId="20AF7665" w14:textId="77777777" w:rsidR="00AF6B6A" w:rsidRDefault="00000000">
      <w:pPr>
        <w:keepNext/>
        <w:spacing w:line="240" w:lineRule="auto"/>
        <w:jc w:val="center"/>
      </w:pPr>
      <w:r>
        <w:rPr>
          <w:sz w:val="28"/>
        </w:rPr>
        <w:t>Bilješka 125.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F6B6A" w14:paraId="50DFEB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5DCBD9"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61FE6D"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6A7715"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675884" w14:textId="77777777" w:rsidR="00AF6B6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7BB8B68" w14:textId="77777777" w:rsidR="00AF6B6A" w:rsidRDefault="00000000">
            <w:pPr>
              <w:keepNext/>
              <w:keepLines/>
              <w:spacing w:after="0" w:line="240" w:lineRule="auto"/>
              <w:jc w:val="center"/>
            </w:pPr>
            <w:r>
              <w:rPr>
                <w:b/>
                <w:sz w:val="18"/>
              </w:rPr>
              <w:t>Indeks (%)</w:t>
            </w:r>
          </w:p>
        </w:tc>
      </w:tr>
      <w:tr w:rsidR="00AF6B6A" w14:paraId="0D87BED3" w14:textId="77777777">
        <w:tblPrEx>
          <w:tblCellMar>
            <w:top w:w="0" w:type="dxa"/>
            <w:bottom w:w="0" w:type="dxa"/>
          </w:tblCellMar>
        </w:tblPrEx>
        <w:trPr>
          <w:cantSplit/>
          <w:trHeight w:val="560"/>
        </w:trPr>
        <w:tc>
          <w:tcPr>
            <w:tcW w:w="700" w:type="dxa"/>
            <w:tcMar>
              <w:top w:w="0" w:type="dxa"/>
              <w:bottom w:w="0" w:type="dxa"/>
            </w:tcMar>
            <w:vAlign w:val="center"/>
          </w:tcPr>
          <w:p w14:paraId="3950C141" w14:textId="77777777" w:rsidR="00AF6B6A" w:rsidRDefault="00000000">
            <w:pPr>
              <w:keepNext/>
              <w:keepLines/>
              <w:spacing w:after="0" w:line="240" w:lineRule="auto"/>
            </w:pPr>
            <w:r>
              <w:rPr>
                <w:sz w:val="18"/>
              </w:rPr>
              <w:t>dio 25,26</w:t>
            </w:r>
          </w:p>
        </w:tc>
        <w:tc>
          <w:tcPr>
            <w:tcW w:w="3180" w:type="dxa"/>
            <w:tcMar>
              <w:top w:w="0" w:type="dxa"/>
              <w:bottom w:w="0" w:type="dxa"/>
            </w:tcMar>
            <w:vAlign w:val="center"/>
          </w:tcPr>
          <w:p w14:paraId="6A12ADA2" w14:textId="77777777" w:rsidR="00AF6B6A" w:rsidRDefault="00000000">
            <w:pPr>
              <w:keepNext/>
              <w:keepLines/>
              <w:spacing w:after="0" w:line="240" w:lineRule="auto"/>
            </w:pPr>
            <w:r>
              <w:rPr>
                <w:sz w:val="18"/>
              </w:rPr>
              <w:t>Obveze za financijsku imovinu</w:t>
            </w:r>
          </w:p>
        </w:tc>
        <w:tc>
          <w:tcPr>
            <w:tcW w:w="700" w:type="dxa"/>
            <w:tcMar>
              <w:top w:w="0" w:type="dxa"/>
              <w:bottom w:w="0" w:type="dxa"/>
            </w:tcMar>
            <w:vAlign w:val="center"/>
          </w:tcPr>
          <w:p w14:paraId="699C0394" w14:textId="77777777" w:rsidR="00AF6B6A" w:rsidRDefault="00000000">
            <w:pPr>
              <w:keepNext/>
              <w:keepLines/>
              <w:spacing w:after="0" w:line="240" w:lineRule="auto"/>
            </w:pPr>
            <w:r>
              <w:rPr>
                <w:sz w:val="18"/>
              </w:rPr>
              <w:t>ND dio 25,26</w:t>
            </w:r>
          </w:p>
        </w:tc>
        <w:tc>
          <w:tcPr>
            <w:tcW w:w="1860" w:type="dxa"/>
            <w:tcMar>
              <w:top w:w="0" w:type="dxa"/>
              <w:bottom w:w="0" w:type="dxa"/>
            </w:tcMar>
            <w:vAlign w:val="center"/>
          </w:tcPr>
          <w:p w14:paraId="21423BE7" w14:textId="77777777" w:rsidR="00AF6B6A" w:rsidRDefault="00000000">
            <w:pPr>
              <w:keepNext/>
              <w:keepLines/>
              <w:spacing w:after="0" w:line="240" w:lineRule="auto"/>
              <w:jc w:val="right"/>
            </w:pPr>
            <w:r>
              <w:rPr>
                <w:sz w:val="18"/>
              </w:rPr>
              <w:t>16.177.058,73</w:t>
            </w:r>
          </w:p>
        </w:tc>
        <w:tc>
          <w:tcPr>
            <w:tcW w:w="700" w:type="dxa"/>
            <w:tcMar>
              <w:top w:w="0" w:type="dxa"/>
              <w:bottom w:w="0" w:type="dxa"/>
            </w:tcMar>
            <w:vAlign w:val="center"/>
          </w:tcPr>
          <w:p w14:paraId="0500DF6B" w14:textId="77777777" w:rsidR="00AF6B6A" w:rsidRDefault="00000000">
            <w:pPr>
              <w:keepNext/>
              <w:keepLines/>
              <w:spacing w:after="0" w:line="240" w:lineRule="auto"/>
              <w:jc w:val="right"/>
            </w:pPr>
            <w:r>
              <w:rPr>
                <w:sz w:val="18"/>
              </w:rPr>
              <w:t>-</w:t>
            </w:r>
          </w:p>
        </w:tc>
      </w:tr>
    </w:tbl>
    <w:p w14:paraId="2BB06BE9" w14:textId="77777777" w:rsidR="00AF6B6A" w:rsidRDefault="00AF6B6A">
      <w:pPr>
        <w:spacing w:after="0"/>
      </w:pPr>
    </w:p>
    <w:p w14:paraId="2A289985" w14:textId="77777777" w:rsidR="00AF6B6A" w:rsidRDefault="00000000">
      <w:r>
        <w:t>Obveze za financijsku imovinu odnose se na Obveze za obveznice u iznosu od 8.892.428,17 EUR te na obveze za kredite u iznosu od 7.284.630,56 EUR. </w:t>
      </w:r>
    </w:p>
    <w:p w14:paraId="72964EEB" w14:textId="77777777" w:rsidR="00AF6B6A" w:rsidRDefault="00AF6B6A"/>
    <w:p w14:paraId="0B5E71C7" w14:textId="77777777" w:rsidR="00AF6B6A" w:rsidRDefault="00000000">
      <w:pPr>
        <w:keepNext/>
        <w:spacing w:line="240" w:lineRule="auto"/>
        <w:jc w:val="center"/>
      </w:pPr>
      <w:r>
        <w:rPr>
          <w:sz w:val="28"/>
        </w:rPr>
        <w:t>Bilješka 126.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F6B6A" w14:paraId="6D62D2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3FA20E" w14:textId="77777777" w:rsidR="00AF6B6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38C6DB" w14:textId="77777777" w:rsidR="00AF6B6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319C3F" w14:textId="77777777" w:rsidR="00AF6B6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43EAD1" w14:textId="77777777" w:rsidR="00AF6B6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49403CD" w14:textId="77777777" w:rsidR="00AF6B6A" w:rsidRDefault="00000000">
            <w:pPr>
              <w:keepNext/>
              <w:keepLines/>
              <w:spacing w:after="0" w:line="240" w:lineRule="auto"/>
              <w:jc w:val="center"/>
            </w:pPr>
            <w:r>
              <w:rPr>
                <w:b/>
                <w:sz w:val="18"/>
              </w:rPr>
              <w:t>Indeks (%)</w:t>
            </w:r>
          </w:p>
        </w:tc>
      </w:tr>
      <w:tr w:rsidR="00AF6B6A" w14:paraId="0DCB7F2A" w14:textId="77777777">
        <w:tblPrEx>
          <w:tblCellMar>
            <w:top w:w="0" w:type="dxa"/>
            <w:bottom w:w="0" w:type="dxa"/>
          </w:tblCellMar>
        </w:tblPrEx>
        <w:trPr>
          <w:cantSplit/>
          <w:trHeight w:val="560"/>
        </w:trPr>
        <w:tc>
          <w:tcPr>
            <w:tcW w:w="700" w:type="dxa"/>
            <w:tcMar>
              <w:top w:w="0" w:type="dxa"/>
              <w:bottom w:w="0" w:type="dxa"/>
            </w:tcMar>
            <w:vAlign w:val="center"/>
          </w:tcPr>
          <w:p w14:paraId="032A8D26" w14:textId="77777777" w:rsidR="00AF6B6A" w:rsidRDefault="00000000">
            <w:pPr>
              <w:keepNext/>
              <w:keepLines/>
              <w:spacing w:after="0" w:line="240" w:lineRule="auto"/>
            </w:pPr>
            <w:r>
              <w:rPr>
                <w:sz w:val="18"/>
              </w:rPr>
              <w:t>27</w:t>
            </w:r>
          </w:p>
        </w:tc>
        <w:tc>
          <w:tcPr>
            <w:tcW w:w="3180" w:type="dxa"/>
            <w:tcMar>
              <w:top w:w="0" w:type="dxa"/>
              <w:bottom w:w="0" w:type="dxa"/>
            </w:tcMar>
            <w:vAlign w:val="center"/>
          </w:tcPr>
          <w:p w14:paraId="12758EB3" w14:textId="77777777" w:rsidR="00AF6B6A"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42F01CBB" w14:textId="77777777" w:rsidR="00AF6B6A" w:rsidRDefault="00000000">
            <w:pPr>
              <w:keepNext/>
              <w:keepLines/>
              <w:spacing w:after="0" w:line="240" w:lineRule="auto"/>
            </w:pPr>
            <w:r>
              <w:rPr>
                <w:sz w:val="18"/>
              </w:rPr>
              <w:t>ND27</w:t>
            </w:r>
          </w:p>
        </w:tc>
        <w:tc>
          <w:tcPr>
            <w:tcW w:w="1860" w:type="dxa"/>
            <w:tcMar>
              <w:top w:w="0" w:type="dxa"/>
              <w:bottom w:w="0" w:type="dxa"/>
            </w:tcMar>
            <w:vAlign w:val="center"/>
          </w:tcPr>
          <w:p w14:paraId="108B0927" w14:textId="77777777" w:rsidR="00AF6B6A" w:rsidRDefault="00000000">
            <w:pPr>
              <w:keepNext/>
              <w:keepLines/>
              <w:spacing w:after="0" w:line="240" w:lineRule="auto"/>
              <w:jc w:val="right"/>
            </w:pPr>
            <w:r>
              <w:rPr>
                <w:sz w:val="18"/>
              </w:rPr>
              <w:t>2.189.102,92</w:t>
            </w:r>
          </w:p>
        </w:tc>
        <w:tc>
          <w:tcPr>
            <w:tcW w:w="700" w:type="dxa"/>
            <w:tcMar>
              <w:top w:w="0" w:type="dxa"/>
              <w:bottom w:w="0" w:type="dxa"/>
            </w:tcMar>
            <w:vAlign w:val="center"/>
          </w:tcPr>
          <w:p w14:paraId="40EAE121" w14:textId="77777777" w:rsidR="00AF6B6A" w:rsidRDefault="00000000">
            <w:pPr>
              <w:keepNext/>
              <w:keepLines/>
              <w:spacing w:after="0" w:line="240" w:lineRule="auto"/>
              <w:jc w:val="right"/>
            </w:pPr>
            <w:r>
              <w:rPr>
                <w:sz w:val="18"/>
              </w:rPr>
              <w:t>-</w:t>
            </w:r>
          </w:p>
        </w:tc>
      </w:tr>
    </w:tbl>
    <w:p w14:paraId="52DA2F5F" w14:textId="77777777" w:rsidR="00AF6B6A" w:rsidRDefault="00AF6B6A">
      <w:pPr>
        <w:spacing w:after="0"/>
      </w:pPr>
    </w:p>
    <w:p w14:paraId="1758236F" w14:textId="77777777" w:rsidR="00AF6B6A" w:rsidRDefault="00000000">
      <w:r>
        <w:t>Obveze za predujmove, depozite, jamčevne pologe i tuđe prihode detaljno su objašnjeni u sklopu bilješke Bilance.</w:t>
      </w:r>
    </w:p>
    <w:p w14:paraId="2B541D96" w14:textId="77777777" w:rsidR="00AF6B6A" w:rsidRDefault="00AF6B6A"/>
    <w:p w14:paraId="54FFC92D" w14:textId="77777777" w:rsidR="00AF6B6A" w:rsidRDefault="00000000">
      <w:pPr>
        <w:keepNext/>
        <w:spacing w:line="240" w:lineRule="auto"/>
        <w:jc w:val="center"/>
      </w:pPr>
      <w:r>
        <w:rPr>
          <w:sz w:val="28"/>
        </w:rPr>
        <w:t>Bilješka 127.</w:t>
      </w:r>
    </w:p>
    <w:p w14:paraId="73D59A56" w14:textId="77777777" w:rsidR="00AF6B6A" w:rsidRDefault="00000000">
      <w:pPr>
        <w:spacing w:line="240" w:lineRule="auto"/>
        <w:jc w:val="both"/>
      </w:pPr>
      <w:r>
        <w:rPr>
          <w:b/>
        </w:rPr>
        <w:t>EU izvještaj</w:t>
      </w:r>
    </w:p>
    <w:p w14:paraId="648ED106" w14:textId="77777777" w:rsidR="00AF6B6A" w:rsidRDefault="00000000">
      <w:pPr>
        <w:jc w:val="both"/>
      </w:pPr>
      <w:r>
        <w:rPr>
          <w:b/>
        </w:rPr>
        <w:lastRenderedPageBreak/>
        <w:t>EU izvještaj po izvorima financiranja:</w:t>
      </w:r>
    </w:p>
    <w:p w14:paraId="55F5AFB7" w14:textId="77777777" w:rsidR="00AF6B6A" w:rsidRDefault="00000000">
      <w:pPr>
        <w:jc w:val="both"/>
      </w:pPr>
      <w:r>
        <w:t>510 programi unije </w:t>
      </w:r>
    </w:p>
    <w:p w14:paraId="4D62E5D5" w14:textId="77777777" w:rsidR="00AF6B6A" w:rsidRDefault="00000000">
      <w:pPr>
        <w:jc w:val="both"/>
      </w:pPr>
      <w:r>
        <w:t>561 Europski socijalni fond</w:t>
      </w:r>
    </w:p>
    <w:p w14:paraId="6617FADD" w14:textId="77777777" w:rsidR="00AF6B6A" w:rsidRDefault="00000000">
      <w:pPr>
        <w:jc w:val="both"/>
      </w:pPr>
      <w:r>
        <w:t>563 Europski fond za regionalni razvoj</w:t>
      </w:r>
    </w:p>
    <w:p w14:paraId="40FFCBFF" w14:textId="77777777" w:rsidR="00AF6B6A" w:rsidRDefault="00000000">
      <w:pPr>
        <w:jc w:val="both"/>
      </w:pPr>
      <w:r>
        <w:t>565 Europski poljoprivredni fond za ruralni razvoj</w:t>
      </w:r>
    </w:p>
    <w:p w14:paraId="3041DC11" w14:textId="77777777" w:rsidR="00AF6B6A" w:rsidRDefault="00000000">
      <w:pPr>
        <w:jc w:val="both"/>
      </w:pPr>
      <w:r>
        <w:t>581 MPOO - bespovratna sredstva</w:t>
      </w:r>
    </w:p>
    <w:p w14:paraId="69A43743" w14:textId="77777777" w:rsidR="00AF6B6A" w:rsidRDefault="00000000">
      <w:pPr>
        <w:jc w:val="both"/>
      </w:pPr>
      <w:r>
        <w:rPr>
          <w:b/>
        </w:rPr>
        <w:t>Obrazac Ukupno:</w:t>
      </w:r>
    </w:p>
    <w:p w14:paraId="5BE9034B" w14:textId="77777777" w:rsidR="00AF6B6A" w:rsidRDefault="00000000">
      <w:pPr>
        <w:jc w:val="both"/>
      </w:pPr>
      <w:r>
        <w:t>6 Prihodi poslovanja su ostvareni u iznosu 1.093.611,83 EUR </w:t>
      </w:r>
    </w:p>
    <w:p w14:paraId="15303B0D" w14:textId="77777777" w:rsidR="00AF6B6A" w:rsidRDefault="00000000">
      <w:pPr>
        <w:jc w:val="both"/>
      </w:pPr>
      <w:r>
        <w:t>8 Primici o financijske imovine i zaduživanja -</w:t>
      </w:r>
    </w:p>
    <w:p w14:paraId="76561D4A" w14:textId="77777777" w:rsidR="00AF6B6A" w:rsidRDefault="00000000">
      <w:pPr>
        <w:jc w:val="both"/>
      </w:pPr>
      <w:r>
        <w:t>3 Rashodi poslovanja iznose 654.930,40 EUR </w:t>
      </w:r>
    </w:p>
    <w:p w14:paraId="60AE893B" w14:textId="77777777" w:rsidR="00AF6B6A" w:rsidRDefault="00000000">
      <w:pPr>
        <w:jc w:val="both"/>
      </w:pPr>
      <w:r>
        <w:t>4 Rashodi za nabavu nefinancijske imovine iznose 500.351,99 EUR</w:t>
      </w:r>
    </w:p>
    <w:p w14:paraId="22D38543" w14:textId="77777777" w:rsidR="00AF6B6A" w:rsidRDefault="00000000">
      <w:pPr>
        <w:jc w:val="both"/>
      </w:pPr>
      <w:r>
        <w:rPr>
          <w:b/>
        </w:rPr>
        <w:t>Obveze - stanje </w:t>
      </w:r>
    </w:p>
    <w:p w14:paraId="27AC133D" w14:textId="77777777" w:rsidR="00AF6B6A" w:rsidRDefault="00000000">
      <w:pPr>
        <w:jc w:val="both"/>
      </w:pPr>
      <w:r>
        <w:t>Obveze za EU predujmove u iznosu 1.981.833,31 EUR odnose se na uplaćeni predujam projekta EUI InterACT Green</w:t>
      </w:r>
    </w:p>
    <w:p w14:paraId="0F6AD1F8" w14:textId="77777777" w:rsidR="00AF6B6A" w:rsidRDefault="00000000">
      <w:pPr>
        <w:jc w:val="both"/>
      </w:pPr>
      <w:r>
        <w:rPr>
          <w:b/>
        </w:rPr>
        <w:t>Izvanbilančni zapisi:</w:t>
      </w:r>
    </w:p>
    <w:p w14:paraId="1005E386" w14:textId="77777777" w:rsidR="00AF6B6A" w:rsidRDefault="00000000">
      <w:pPr>
        <w:jc w:val="both"/>
      </w:pPr>
      <w:r>
        <w:t>99171 Potraživanja po ugovorima o dodijeljenim EU sredstvima iznose 11.041.198,78 EUR </w:t>
      </w:r>
    </w:p>
    <w:p w14:paraId="4CF649A5" w14:textId="77777777" w:rsidR="00AF6B6A" w:rsidRDefault="00000000">
      <w:pPr>
        <w:jc w:val="both"/>
      </w:pPr>
      <w:r>
        <w:t> </w:t>
      </w:r>
    </w:p>
    <w:p w14:paraId="1F74211A" w14:textId="77777777" w:rsidR="00AF6B6A" w:rsidRDefault="00000000">
      <w:pPr>
        <w:jc w:val="both"/>
      </w:pPr>
      <w:r>
        <w:t> </w:t>
      </w:r>
    </w:p>
    <w:p w14:paraId="452693F9" w14:textId="77777777" w:rsidR="00AF6B6A" w:rsidRDefault="00AF6B6A"/>
    <w:sectPr w:rsidR="00AF6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21056"/>
    <w:multiLevelType w:val="hybridMultilevel"/>
    <w:tmpl w:val="A912B438"/>
    <w:name w:val="disc"/>
    <w:lvl w:ilvl="0" w:tplc="749045A8">
      <w:start w:val="1"/>
      <w:numFmt w:val="bullet"/>
      <w:lvlText w:val="•"/>
      <w:lvlJc w:val="left"/>
      <w:pPr>
        <w:ind w:left="720" w:hanging="360"/>
      </w:pPr>
    </w:lvl>
    <w:lvl w:ilvl="1" w:tplc="96D0242C">
      <w:start w:val="1"/>
      <w:numFmt w:val="bullet"/>
      <w:lvlText w:val="•"/>
      <w:lvlJc w:val="left"/>
      <w:pPr>
        <w:ind w:left="1440" w:hanging="360"/>
      </w:pPr>
    </w:lvl>
    <w:lvl w:ilvl="2" w:tplc="F586DF44">
      <w:start w:val="1"/>
      <w:numFmt w:val="bullet"/>
      <w:lvlText w:val="•"/>
      <w:lvlJc w:val="left"/>
      <w:pPr>
        <w:ind w:left="2160" w:hanging="360"/>
      </w:pPr>
    </w:lvl>
    <w:lvl w:ilvl="3" w:tplc="E7E6F3B6">
      <w:start w:val="1"/>
      <w:numFmt w:val="bullet"/>
      <w:lvlText w:val="•"/>
      <w:lvlJc w:val="left"/>
      <w:pPr>
        <w:ind w:left="2880" w:hanging="360"/>
      </w:pPr>
    </w:lvl>
    <w:lvl w:ilvl="4" w:tplc="23248A2C">
      <w:start w:val="1"/>
      <w:numFmt w:val="bullet"/>
      <w:lvlText w:val="•"/>
      <w:lvlJc w:val="left"/>
      <w:pPr>
        <w:ind w:left="3600" w:hanging="360"/>
      </w:pPr>
    </w:lvl>
    <w:lvl w:ilvl="5" w:tplc="2FFE905C">
      <w:start w:val="1"/>
      <w:numFmt w:val="bullet"/>
      <w:lvlText w:val="•"/>
      <w:lvlJc w:val="left"/>
      <w:pPr>
        <w:ind w:left="4320" w:hanging="360"/>
      </w:pPr>
    </w:lvl>
    <w:lvl w:ilvl="6" w:tplc="A49EA8DE">
      <w:start w:val="1"/>
      <w:numFmt w:val="bullet"/>
      <w:lvlText w:val="•"/>
      <w:lvlJc w:val="left"/>
      <w:pPr>
        <w:ind w:left="5040" w:hanging="360"/>
      </w:pPr>
    </w:lvl>
    <w:lvl w:ilvl="7" w:tplc="D614609A">
      <w:start w:val="1"/>
      <w:numFmt w:val="bullet"/>
      <w:lvlText w:val="•"/>
      <w:lvlJc w:val="left"/>
      <w:pPr>
        <w:ind w:left="5760" w:hanging="360"/>
      </w:pPr>
    </w:lvl>
    <w:lvl w:ilvl="8" w:tplc="555ACF0C">
      <w:start w:val="1"/>
      <w:numFmt w:val="bullet"/>
      <w:lvlText w:val="•"/>
      <w:lvlJc w:val="left"/>
      <w:pPr>
        <w:ind w:left="6480" w:hanging="360"/>
      </w:pPr>
    </w:lvl>
  </w:abstractNum>
  <w:num w:numId="1" w16cid:durableId="16451640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6A"/>
    <w:rsid w:val="00507E81"/>
    <w:rsid w:val="00723C30"/>
    <w:rsid w:val="00AF6B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A8A6"/>
  <w15:docId w15:val="{5AB4ADDB-8B8F-48F8-ABD8-3AACB799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11977</Words>
  <Characters>68271</Characters>
  <Application>Microsoft Office Word</Application>
  <DocSecurity>0</DocSecurity>
  <Lines>568</Lines>
  <Paragraphs>160</Paragraphs>
  <ScaleCrop>false</ScaleCrop>
  <Company/>
  <LinksUpToDate>false</LinksUpToDate>
  <CharactersWithSpaces>80088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Cafuk</dc:creator>
  <cp:lastModifiedBy>mcafuk2021@outlook.com</cp:lastModifiedBy>
  <cp:revision>2</cp:revision>
  <dcterms:created xsi:type="dcterms:W3CDTF">2026-03-02T11:06:00Z</dcterms:created>
  <dcterms:modified xsi:type="dcterms:W3CDTF">2026-03-02T11:06:00Z</dcterms:modified>
</cp:coreProperties>
</file>