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71E8" w14:textId="77777777" w:rsidR="00D14A18" w:rsidRDefault="00D14A18" w:rsidP="00D14A18">
      <w:pPr>
        <w:rPr>
          <w:rFonts w:ascii="Times New Roman" w:hAnsi="Times New Roman" w:cs="Times New Roman"/>
          <w:b/>
        </w:rPr>
      </w:pPr>
    </w:p>
    <w:p w14:paraId="67DFA2E0" w14:textId="77777777" w:rsidR="00D14A18" w:rsidRDefault="00D14A18" w:rsidP="00D14A18">
      <w:pPr>
        <w:jc w:val="center"/>
        <w:rPr>
          <w:rFonts w:ascii="Times New Roman" w:hAnsi="Times New Roman" w:cs="Times New Roman"/>
          <w:b/>
        </w:rPr>
      </w:pPr>
      <w:r w:rsidRPr="00856707">
        <w:rPr>
          <w:rFonts w:ascii="Times New Roman" w:hAnsi="Times New Roman" w:cs="Times New Roman"/>
          <w:b/>
          <w:noProof/>
        </w:rPr>
        <w:drawing>
          <wp:inline distT="0" distB="0" distL="0" distR="0" wp14:anchorId="2B7FB82A" wp14:editId="5DC8F381">
            <wp:extent cx="2162477" cy="1057423"/>
            <wp:effectExtent l="0" t="0" r="0" b="9525"/>
            <wp:docPr id="37032123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21235" name=""/>
                    <pic:cNvPicPr/>
                  </pic:nvPicPr>
                  <pic:blipFill>
                    <a:blip r:embed="rId5"/>
                    <a:stretch>
                      <a:fillRect/>
                    </a:stretch>
                  </pic:blipFill>
                  <pic:spPr>
                    <a:xfrm>
                      <a:off x="0" y="0"/>
                      <a:ext cx="2162477" cy="1057423"/>
                    </a:xfrm>
                    <a:prstGeom prst="rect">
                      <a:avLst/>
                    </a:prstGeom>
                  </pic:spPr>
                </pic:pic>
              </a:graphicData>
            </a:graphic>
          </wp:inline>
        </w:drawing>
      </w:r>
    </w:p>
    <w:p w14:paraId="0978642A" w14:textId="77777777" w:rsidR="00D14A18" w:rsidRDefault="00D14A18" w:rsidP="00D14A18">
      <w:pPr>
        <w:rPr>
          <w:rFonts w:ascii="Times New Roman" w:hAnsi="Times New Roman" w:cs="Times New Roman"/>
          <w:b/>
        </w:rPr>
      </w:pPr>
    </w:p>
    <w:p w14:paraId="6AA74B3D" w14:textId="77777777" w:rsidR="00D14A18" w:rsidRDefault="00D14A18" w:rsidP="00D14A18">
      <w:pPr>
        <w:rPr>
          <w:rFonts w:ascii="Times New Roman" w:hAnsi="Times New Roman" w:cs="Times New Roman"/>
          <w:b/>
        </w:rPr>
      </w:pPr>
    </w:p>
    <w:p w14:paraId="2EFE54E7" w14:textId="77777777" w:rsidR="00D14A18" w:rsidRDefault="00D14A18" w:rsidP="00D14A18">
      <w:pPr>
        <w:rPr>
          <w:rFonts w:ascii="Times New Roman" w:hAnsi="Times New Roman" w:cs="Times New Roman"/>
          <w:b/>
        </w:rPr>
      </w:pPr>
    </w:p>
    <w:p w14:paraId="6E0BF16A" w14:textId="77777777" w:rsidR="00D14A18" w:rsidRPr="00947F95" w:rsidRDefault="00D14A18" w:rsidP="00D14A18">
      <w:pPr>
        <w:rPr>
          <w:rFonts w:ascii="Times New Roman" w:hAnsi="Times New Roman" w:cs="Times New Roman"/>
          <w:b/>
        </w:rPr>
      </w:pPr>
    </w:p>
    <w:p w14:paraId="5B3964FE" w14:textId="77777777" w:rsidR="00D14A18" w:rsidRPr="00811FCA" w:rsidRDefault="00D14A18" w:rsidP="00D14A18">
      <w:pPr>
        <w:jc w:val="center"/>
        <w:rPr>
          <w:rFonts w:ascii="Times New Roman" w:hAnsi="Times New Roman" w:cs="Times New Roman"/>
          <w:b/>
          <w:sz w:val="48"/>
          <w:szCs w:val="48"/>
        </w:rPr>
      </w:pPr>
      <w:r w:rsidRPr="00811FCA">
        <w:rPr>
          <w:rFonts w:ascii="Times New Roman" w:hAnsi="Times New Roman" w:cs="Times New Roman"/>
          <w:b/>
          <w:sz w:val="48"/>
          <w:szCs w:val="48"/>
        </w:rPr>
        <w:t>Proračun u malom</w:t>
      </w:r>
      <w:r>
        <w:rPr>
          <w:rFonts w:ascii="Times New Roman" w:hAnsi="Times New Roman" w:cs="Times New Roman"/>
          <w:b/>
          <w:sz w:val="48"/>
          <w:szCs w:val="48"/>
        </w:rPr>
        <w:t xml:space="preserve"> </w:t>
      </w:r>
    </w:p>
    <w:p w14:paraId="43E45D48" w14:textId="77777777" w:rsidR="00D14A18" w:rsidRPr="00811FCA" w:rsidRDefault="00D14A18" w:rsidP="00D14A18">
      <w:pPr>
        <w:jc w:val="center"/>
        <w:rPr>
          <w:rFonts w:ascii="Times New Roman" w:hAnsi="Times New Roman" w:cs="Times New Roman"/>
          <w:b/>
          <w:sz w:val="48"/>
          <w:szCs w:val="48"/>
        </w:rPr>
      </w:pPr>
      <w:r w:rsidRPr="00811FCA">
        <w:rPr>
          <w:rFonts w:ascii="Times New Roman" w:hAnsi="Times New Roman" w:cs="Times New Roman"/>
          <w:b/>
          <w:sz w:val="48"/>
          <w:szCs w:val="48"/>
        </w:rPr>
        <w:t>Grada Varaždina</w:t>
      </w:r>
    </w:p>
    <w:p w14:paraId="2ADB7A69" w14:textId="77777777" w:rsidR="00D14A18" w:rsidRPr="00811FCA" w:rsidRDefault="00D14A18" w:rsidP="00D14A18">
      <w:pPr>
        <w:jc w:val="center"/>
        <w:rPr>
          <w:rFonts w:ascii="Times New Roman" w:hAnsi="Times New Roman" w:cs="Times New Roman"/>
          <w:b/>
          <w:sz w:val="48"/>
          <w:szCs w:val="48"/>
        </w:rPr>
      </w:pPr>
      <w:r w:rsidRPr="00811FCA">
        <w:rPr>
          <w:rFonts w:ascii="Times New Roman" w:hAnsi="Times New Roman" w:cs="Times New Roman"/>
          <w:b/>
          <w:sz w:val="48"/>
          <w:szCs w:val="48"/>
        </w:rPr>
        <w:t>za 2024. godinu</w:t>
      </w:r>
    </w:p>
    <w:p w14:paraId="40F3CD29" w14:textId="77777777" w:rsidR="00D14A18" w:rsidRPr="00A64D32" w:rsidRDefault="00D14A18" w:rsidP="00D14A18">
      <w:pPr>
        <w:jc w:val="center"/>
        <w:rPr>
          <w:rFonts w:ascii="Times New Roman" w:hAnsi="Times New Roman" w:cs="Times New Roman"/>
          <w:color w:val="7030A0"/>
          <w:sz w:val="28"/>
          <w:szCs w:val="28"/>
        </w:rPr>
      </w:pPr>
    </w:p>
    <w:p w14:paraId="64126E84" w14:textId="77777777" w:rsidR="00D14A18" w:rsidRPr="00147D48" w:rsidRDefault="00D14A18" w:rsidP="00D14A18">
      <w:pPr>
        <w:rPr>
          <w:rFonts w:ascii="Times New Roman" w:hAnsi="Times New Roman" w:cs="Times New Roman"/>
          <w:b/>
        </w:rPr>
      </w:pPr>
    </w:p>
    <w:p w14:paraId="3226A8E1" w14:textId="77777777" w:rsidR="00D14A18" w:rsidRDefault="00D14A18" w:rsidP="00D14A18">
      <w:pPr>
        <w:rPr>
          <w:rFonts w:ascii="Times New Roman" w:hAnsi="Times New Roman" w:cs="Times New Roman"/>
          <w:b/>
        </w:rPr>
      </w:pPr>
    </w:p>
    <w:p w14:paraId="10297AEF" w14:textId="77777777" w:rsidR="00D14A18" w:rsidRDefault="00D14A18" w:rsidP="00D14A18">
      <w:pPr>
        <w:rPr>
          <w:rFonts w:ascii="Times New Roman" w:hAnsi="Times New Roman" w:cs="Times New Roman"/>
          <w:b/>
        </w:rPr>
      </w:pPr>
    </w:p>
    <w:p w14:paraId="225DE955" w14:textId="77777777" w:rsidR="00D14A18" w:rsidRDefault="00D14A18" w:rsidP="00D14A18">
      <w:pPr>
        <w:jc w:val="center"/>
        <w:rPr>
          <w:rFonts w:ascii="Times New Roman" w:hAnsi="Times New Roman" w:cs="Times New Roman"/>
          <w:b/>
        </w:rPr>
      </w:pPr>
    </w:p>
    <w:p w14:paraId="07CD38CD" w14:textId="77777777" w:rsidR="00D14A18" w:rsidRDefault="00D14A18" w:rsidP="00D14A18">
      <w:pPr>
        <w:rPr>
          <w:rFonts w:ascii="Times New Roman" w:hAnsi="Times New Roman" w:cs="Times New Roman"/>
          <w:b/>
        </w:rPr>
      </w:pPr>
    </w:p>
    <w:p w14:paraId="6708B88F" w14:textId="77777777" w:rsidR="00D14A18" w:rsidRDefault="00D14A18" w:rsidP="00D14A18">
      <w:pPr>
        <w:rPr>
          <w:rFonts w:ascii="Times New Roman" w:hAnsi="Times New Roman" w:cs="Times New Roman"/>
          <w:b/>
        </w:rPr>
      </w:pPr>
    </w:p>
    <w:p w14:paraId="549D269B" w14:textId="77777777" w:rsidR="00D14A18" w:rsidRDefault="00D14A18" w:rsidP="00D14A18">
      <w:pPr>
        <w:rPr>
          <w:rFonts w:ascii="Times New Roman" w:hAnsi="Times New Roman" w:cs="Times New Roman"/>
          <w:b/>
        </w:rPr>
      </w:pPr>
    </w:p>
    <w:p w14:paraId="2BDEEE4A" w14:textId="77777777" w:rsidR="00D14A18" w:rsidRDefault="00D14A18" w:rsidP="00D14A18">
      <w:pPr>
        <w:rPr>
          <w:rFonts w:ascii="Times New Roman" w:hAnsi="Times New Roman" w:cs="Times New Roman"/>
          <w:b/>
        </w:rPr>
      </w:pPr>
    </w:p>
    <w:p w14:paraId="22684887" w14:textId="77777777" w:rsidR="00D14A18" w:rsidRDefault="00D14A18" w:rsidP="00D14A18">
      <w:pPr>
        <w:rPr>
          <w:rFonts w:ascii="Times New Roman" w:hAnsi="Times New Roman" w:cs="Times New Roman"/>
          <w:b/>
        </w:rPr>
      </w:pPr>
    </w:p>
    <w:p w14:paraId="15B32D00" w14:textId="77777777" w:rsidR="00D14A18" w:rsidRDefault="00D14A18" w:rsidP="00D14A18">
      <w:pPr>
        <w:rPr>
          <w:rFonts w:ascii="Times New Roman" w:hAnsi="Times New Roman" w:cs="Times New Roman"/>
          <w:b/>
        </w:rPr>
      </w:pPr>
    </w:p>
    <w:p w14:paraId="15D21732" w14:textId="77777777" w:rsidR="00D14A18" w:rsidRPr="006E13A1" w:rsidRDefault="00D14A18" w:rsidP="00D14A18">
      <w:pPr>
        <w:rPr>
          <w:rFonts w:ascii="TitilliumWeb-Regular" w:hAnsi="TitilliumWeb-Regular" w:cs="Times New Roman"/>
          <w:b/>
          <w:sz w:val="24"/>
          <w:szCs w:val="24"/>
        </w:rPr>
      </w:pPr>
    </w:p>
    <w:p w14:paraId="37D08380" w14:textId="77777777" w:rsidR="00D14A18" w:rsidRPr="00075B7D" w:rsidRDefault="00D14A18" w:rsidP="00D14A18">
      <w:pPr>
        <w:jc w:val="center"/>
        <w:rPr>
          <w:rFonts w:ascii="Times New Roman" w:hAnsi="Times New Roman" w:cs="Times New Roman"/>
          <w:sz w:val="24"/>
          <w:szCs w:val="24"/>
        </w:rPr>
      </w:pPr>
      <w:r w:rsidRPr="00147D48">
        <w:rPr>
          <w:rFonts w:ascii="Times New Roman" w:hAnsi="Times New Roman" w:cs="Times New Roman"/>
          <w:sz w:val="24"/>
          <w:szCs w:val="24"/>
        </w:rPr>
        <w:t>Varaždin,</w:t>
      </w:r>
      <w:r>
        <w:rPr>
          <w:rFonts w:ascii="Times New Roman" w:hAnsi="Times New Roman" w:cs="Times New Roman"/>
          <w:sz w:val="24"/>
          <w:szCs w:val="24"/>
        </w:rPr>
        <w:t xml:space="preserve"> siječanj </w:t>
      </w:r>
      <w:r w:rsidRPr="00147D48">
        <w:rPr>
          <w:rFonts w:ascii="Times New Roman" w:hAnsi="Times New Roman" w:cs="Times New Roman"/>
          <w:sz w:val="24"/>
          <w:szCs w:val="24"/>
        </w:rPr>
        <w:t>20</w:t>
      </w:r>
      <w:r>
        <w:rPr>
          <w:rFonts w:ascii="Times New Roman" w:hAnsi="Times New Roman" w:cs="Times New Roman"/>
          <w:sz w:val="24"/>
          <w:szCs w:val="24"/>
        </w:rPr>
        <w:t>24</w:t>
      </w:r>
      <w:r w:rsidRPr="00147D48">
        <w:rPr>
          <w:rFonts w:ascii="Times New Roman" w:hAnsi="Times New Roman" w:cs="Times New Roman"/>
          <w:sz w:val="24"/>
          <w:szCs w:val="24"/>
        </w:rPr>
        <w:t>.</w:t>
      </w:r>
    </w:p>
    <w:p w14:paraId="55519107" w14:textId="77777777" w:rsidR="00D14A18" w:rsidRDefault="00D14A18" w:rsidP="00D14A18">
      <w:pPr>
        <w:rPr>
          <w:rFonts w:ascii="Arial Narrow" w:hAnsi="Arial Narrow" w:cs="Arial"/>
          <w:b/>
          <w:color w:val="FF0000"/>
          <w:sz w:val="24"/>
          <w:szCs w:val="24"/>
          <w:u w:val="single"/>
        </w:rPr>
      </w:pPr>
    </w:p>
    <w:p w14:paraId="353596FB" w14:textId="77777777" w:rsidR="00D14A18" w:rsidRDefault="00D14A18" w:rsidP="00D14A18">
      <w:pPr>
        <w:rPr>
          <w:rFonts w:ascii="Arial Narrow" w:hAnsi="Arial Narrow" w:cs="Arial"/>
          <w:b/>
          <w:color w:val="FF0000"/>
          <w:sz w:val="24"/>
          <w:szCs w:val="24"/>
          <w:u w:val="single"/>
        </w:rPr>
      </w:pPr>
    </w:p>
    <w:p w14:paraId="63EDE210" w14:textId="77777777" w:rsidR="00D14A18" w:rsidRDefault="00D14A18" w:rsidP="00D14A18">
      <w:pPr>
        <w:rPr>
          <w:rFonts w:ascii="Arial Narrow" w:hAnsi="Arial Narrow" w:cs="Arial"/>
          <w:b/>
          <w:color w:val="FF0000"/>
          <w:sz w:val="24"/>
          <w:szCs w:val="24"/>
          <w:u w:val="single"/>
        </w:rPr>
      </w:pPr>
    </w:p>
    <w:p w14:paraId="38067992" w14:textId="77777777" w:rsidR="00D14A18" w:rsidRDefault="00D14A18" w:rsidP="00D14A18">
      <w:pPr>
        <w:rPr>
          <w:rFonts w:ascii="Arial Narrow" w:hAnsi="Arial Narrow" w:cs="Arial"/>
          <w:b/>
          <w:color w:val="FF0000"/>
          <w:sz w:val="24"/>
          <w:szCs w:val="24"/>
          <w:u w:val="single"/>
        </w:rPr>
      </w:pPr>
    </w:p>
    <w:p w14:paraId="6B72B63F" w14:textId="77777777" w:rsidR="00D14A18" w:rsidRDefault="00D14A18" w:rsidP="00D14A18">
      <w:pPr>
        <w:rPr>
          <w:rFonts w:ascii="Arial Narrow" w:hAnsi="Arial Narrow" w:cs="Arial"/>
          <w:b/>
          <w:color w:val="FF0000"/>
          <w:sz w:val="24"/>
          <w:szCs w:val="24"/>
          <w:u w:val="single"/>
        </w:rPr>
      </w:pPr>
    </w:p>
    <w:p w14:paraId="25AB3937" w14:textId="77777777" w:rsidR="00C61EBA" w:rsidRPr="001742AC" w:rsidRDefault="00C61EBA" w:rsidP="00D14A18">
      <w:pPr>
        <w:rPr>
          <w:rFonts w:ascii="Arial Narrow" w:hAnsi="Arial Narrow" w:cs="Arial"/>
          <w:b/>
          <w:color w:val="FF0000"/>
          <w:sz w:val="24"/>
          <w:szCs w:val="24"/>
          <w:u w:val="single"/>
        </w:rPr>
      </w:pPr>
    </w:p>
    <w:p w14:paraId="2AC6716B" w14:textId="77777777" w:rsidR="00D14A18" w:rsidRPr="00856707" w:rsidRDefault="00D14A18" w:rsidP="00D14A18">
      <w:pPr>
        <w:pStyle w:val="Naslov2"/>
        <w:rPr>
          <w:rStyle w:val="Istaknuto"/>
          <w:rFonts w:ascii="Times New Roman" w:hAnsi="Times New Roman" w:cs="Times New Roman"/>
          <w:b/>
          <w:bCs/>
          <w:i w:val="0"/>
          <w:iCs w:val="0"/>
          <w:color w:val="auto"/>
          <w:sz w:val="24"/>
          <w:szCs w:val="24"/>
        </w:rPr>
      </w:pPr>
      <w:r w:rsidRPr="00856707">
        <w:rPr>
          <w:rStyle w:val="Istaknuto"/>
          <w:rFonts w:ascii="Times New Roman" w:hAnsi="Times New Roman" w:cs="Times New Roman"/>
          <w:b/>
          <w:bCs/>
          <w:color w:val="auto"/>
          <w:sz w:val="24"/>
          <w:szCs w:val="24"/>
        </w:rPr>
        <w:lastRenderedPageBreak/>
        <w:t>OPĆENITO O PRORAČUNU I NJEGOVOM SADRŽAJU</w:t>
      </w:r>
    </w:p>
    <w:p w14:paraId="19F9EA51" w14:textId="77777777" w:rsidR="00D14A18" w:rsidRPr="00947F95" w:rsidRDefault="00D14A18" w:rsidP="00D14A18">
      <w:pPr>
        <w:rPr>
          <w:rFonts w:ascii="Times New Roman" w:hAnsi="Times New Roman" w:cs="Times New Roman"/>
          <w:b/>
          <w:color w:val="70AD47" w:themeColor="accent6"/>
          <w:sz w:val="24"/>
          <w:szCs w:val="24"/>
          <w:u w:val="single"/>
        </w:rPr>
      </w:pPr>
    </w:p>
    <w:p w14:paraId="239EF41A" w14:textId="77777777" w:rsidR="00D14A18" w:rsidRPr="00856707" w:rsidRDefault="00D14A18" w:rsidP="00D14A18">
      <w:pPr>
        <w:pStyle w:val="Naslov2"/>
        <w:spacing w:before="0"/>
        <w:rPr>
          <w:rFonts w:ascii="Times New Roman" w:hAnsi="Times New Roman" w:cs="Times New Roman"/>
          <w:b/>
          <w:bCs/>
          <w:color w:val="auto"/>
        </w:rPr>
      </w:pPr>
      <w:r w:rsidRPr="00856707">
        <w:rPr>
          <w:rFonts w:ascii="Times New Roman" w:hAnsi="Times New Roman" w:cs="Times New Roman"/>
          <w:b/>
          <w:bCs/>
          <w:color w:val="auto"/>
        </w:rPr>
        <w:t>Što je proračun?</w:t>
      </w:r>
    </w:p>
    <w:p w14:paraId="240758A6" w14:textId="77777777" w:rsidR="00D14A18" w:rsidRPr="00856707" w:rsidRDefault="00D14A18" w:rsidP="00D14A18">
      <w:pPr>
        <w:tabs>
          <w:tab w:val="left" w:pos="1050"/>
        </w:tabs>
        <w:rPr>
          <w:rFonts w:ascii="Times New Roman" w:hAnsi="Times New Roman" w:cs="Times New Roman"/>
          <w:sz w:val="24"/>
          <w:szCs w:val="24"/>
        </w:rPr>
      </w:pPr>
      <w:r w:rsidRPr="00856707">
        <w:rPr>
          <w:rFonts w:ascii="Times New Roman" w:hAnsi="Times New Roman" w:cs="Times New Roman"/>
          <w:sz w:val="24"/>
          <w:szCs w:val="24"/>
        </w:rPr>
        <w:tab/>
      </w:r>
    </w:p>
    <w:p w14:paraId="48E08B8E" w14:textId="77777777" w:rsidR="00D14A18" w:rsidRPr="00856707" w:rsidRDefault="00D14A18" w:rsidP="00D14A18">
      <w:pPr>
        <w:rPr>
          <w:rFonts w:ascii="Times New Roman" w:hAnsi="Times New Roman" w:cs="Times New Roman"/>
          <w:sz w:val="24"/>
          <w:szCs w:val="24"/>
        </w:rPr>
      </w:pPr>
      <w:r w:rsidRPr="00856707">
        <w:rPr>
          <w:rFonts w:ascii="Times New Roman" w:hAnsi="Times New Roman" w:cs="Times New Roman"/>
          <w:b/>
          <w:sz w:val="24"/>
          <w:szCs w:val="24"/>
        </w:rPr>
        <w:t>Proračun</w:t>
      </w:r>
      <w:r w:rsidRPr="00856707">
        <w:rPr>
          <w:rFonts w:ascii="Times New Roman" w:hAnsi="Times New Roman" w:cs="Times New Roman"/>
          <w:sz w:val="24"/>
          <w:szCs w:val="24"/>
        </w:rPr>
        <w:t xml:space="preserve"> je akt kojim se u skladu sa Zakonom planiraju procjenjuju prihodi i primici te utvrđuju rashodi i izdaci za jednu  fiskalnu godinu. Proračunski proces sastoji se od planiranja proračuna, izrade, donošenja i izvršavanja proračuna. </w:t>
      </w:r>
    </w:p>
    <w:p w14:paraId="6956A9B7" w14:textId="77777777" w:rsidR="00D14A18" w:rsidRPr="00856707" w:rsidRDefault="00D14A18" w:rsidP="00D14A18">
      <w:pPr>
        <w:spacing w:line="276" w:lineRule="auto"/>
        <w:rPr>
          <w:rFonts w:ascii="Times New Roman" w:hAnsi="Times New Roman" w:cs="Times New Roman"/>
          <w:sz w:val="24"/>
          <w:szCs w:val="24"/>
        </w:rPr>
      </w:pPr>
      <w:r w:rsidRPr="00856707">
        <w:rPr>
          <w:rFonts w:ascii="Times New Roman" w:hAnsi="Times New Roman" w:cs="Times New Roman"/>
          <w:sz w:val="24"/>
          <w:szCs w:val="24"/>
        </w:rPr>
        <w:t xml:space="preserve"> </w:t>
      </w:r>
    </w:p>
    <w:p w14:paraId="3CB9B73C" w14:textId="77777777" w:rsidR="00D14A18" w:rsidRPr="00856707" w:rsidRDefault="00D14A18" w:rsidP="00D14A18">
      <w:pPr>
        <w:rPr>
          <w:rFonts w:ascii="Times New Roman" w:hAnsi="Times New Roman" w:cs="Times New Roman"/>
          <w:b/>
          <w:bCs/>
          <w:sz w:val="24"/>
          <w:szCs w:val="24"/>
        </w:rPr>
      </w:pPr>
      <w:r w:rsidRPr="00856707">
        <w:rPr>
          <w:rFonts w:ascii="Times New Roman" w:hAnsi="Times New Roman" w:cs="Times New Roman"/>
          <w:b/>
          <w:bCs/>
          <w:sz w:val="24"/>
          <w:szCs w:val="24"/>
        </w:rPr>
        <w:t>PRORAČUNSKA NAČELA</w:t>
      </w:r>
    </w:p>
    <w:p w14:paraId="3BB745E6" w14:textId="77777777" w:rsidR="00D14A18" w:rsidRPr="00856707" w:rsidRDefault="00D14A18" w:rsidP="00D14A18">
      <w:pPr>
        <w:jc w:val="both"/>
        <w:rPr>
          <w:rFonts w:ascii="Times New Roman" w:hAnsi="Times New Roman" w:cs="Times New Roman"/>
          <w:sz w:val="24"/>
          <w:szCs w:val="24"/>
        </w:rPr>
      </w:pPr>
      <w:r w:rsidRPr="00856707">
        <w:rPr>
          <w:rFonts w:ascii="Times New Roman" w:hAnsi="Times New Roman" w:cs="Times New Roman"/>
          <w:sz w:val="24"/>
          <w:szCs w:val="24"/>
        </w:rPr>
        <w:t>Proračun i financijski plan donosi se i izvršava u skladu s načelima jedinstva i točnosti, proračunske godine, višegodišnjeg planiranja, uravnoteženosti, obračunske jedinice, univerzalnosti, specifikacije, dobrog financijskog upravljanja i transparentnosti.</w:t>
      </w:r>
    </w:p>
    <w:p w14:paraId="01015EE0" w14:textId="77777777" w:rsidR="00D14A18" w:rsidRPr="00856707" w:rsidRDefault="00D14A18" w:rsidP="00D14A18">
      <w:pPr>
        <w:jc w:val="both"/>
        <w:rPr>
          <w:rFonts w:ascii="Times New Roman" w:hAnsi="Times New Roman" w:cs="Times New Roman"/>
          <w:sz w:val="24"/>
          <w:szCs w:val="24"/>
        </w:rPr>
      </w:pPr>
    </w:p>
    <w:p w14:paraId="2CA17471" w14:textId="77777777" w:rsidR="00D14A18" w:rsidRPr="00811FCA" w:rsidRDefault="00D14A18" w:rsidP="00D14A18">
      <w:pPr>
        <w:rPr>
          <w:rFonts w:ascii="Times New Roman" w:hAnsi="Times New Roman" w:cs="Times New Roman"/>
          <w:b/>
          <w:sz w:val="24"/>
          <w:szCs w:val="24"/>
        </w:rPr>
      </w:pPr>
      <w:r w:rsidRPr="00811FCA">
        <w:rPr>
          <w:rFonts w:ascii="Times New Roman" w:hAnsi="Times New Roman" w:cs="Times New Roman"/>
          <w:b/>
          <w:sz w:val="24"/>
          <w:szCs w:val="24"/>
        </w:rPr>
        <w:t xml:space="preserve"> Gdje sve možete pronaći Proračun?</w:t>
      </w:r>
    </w:p>
    <w:p w14:paraId="48FCEE50" w14:textId="77777777" w:rsidR="00D14A18" w:rsidRPr="00811FCA" w:rsidRDefault="00D14A18" w:rsidP="00D14A18">
      <w:pPr>
        <w:pStyle w:val="Odlomakpopisa"/>
        <w:numPr>
          <w:ilvl w:val="0"/>
          <w:numId w:val="1"/>
        </w:numPr>
        <w:rPr>
          <w:rFonts w:ascii="Times New Roman" w:hAnsi="Times New Roman" w:cs="Times New Roman"/>
          <w:sz w:val="24"/>
          <w:szCs w:val="24"/>
        </w:rPr>
      </w:pPr>
      <w:r w:rsidRPr="00811FCA">
        <w:rPr>
          <w:rFonts w:ascii="Times New Roman" w:hAnsi="Times New Roman" w:cs="Times New Roman"/>
          <w:sz w:val="24"/>
          <w:szCs w:val="24"/>
        </w:rPr>
        <w:t>U „Službenom vjesniku Grada Varaždina“ 14/23</w:t>
      </w:r>
    </w:p>
    <w:p w14:paraId="2A4F618C" w14:textId="77777777" w:rsidR="00D14A18" w:rsidRPr="00811FCA" w:rsidRDefault="00D14A18" w:rsidP="00D14A18">
      <w:pPr>
        <w:pStyle w:val="Odlomakpopisa"/>
        <w:numPr>
          <w:ilvl w:val="0"/>
          <w:numId w:val="1"/>
        </w:numPr>
        <w:rPr>
          <w:rFonts w:ascii="Times New Roman" w:hAnsi="Times New Roman" w:cs="Times New Roman"/>
          <w:sz w:val="24"/>
          <w:szCs w:val="24"/>
        </w:rPr>
      </w:pPr>
      <w:r w:rsidRPr="00811FCA">
        <w:rPr>
          <w:rFonts w:ascii="Times New Roman" w:hAnsi="Times New Roman" w:cs="Times New Roman"/>
          <w:sz w:val="24"/>
          <w:szCs w:val="24"/>
        </w:rPr>
        <w:t>www.varazdin.hr</w:t>
      </w:r>
    </w:p>
    <w:p w14:paraId="425DF800" w14:textId="77777777" w:rsidR="00D14A18" w:rsidRDefault="00D14A18" w:rsidP="00D14A18">
      <w:pPr>
        <w:pStyle w:val="Naslov2"/>
        <w:spacing w:line="360" w:lineRule="auto"/>
        <w:rPr>
          <w:rFonts w:asciiTheme="minorHAnsi" w:hAnsiTheme="minorHAnsi" w:cstheme="minorHAnsi"/>
          <w:color w:val="auto"/>
        </w:rPr>
      </w:pPr>
    </w:p>
    <w:p w14:paraId="29FFDE0F" w14:textId="77777777" w:rsidR="00D14A18" w:rsidRDefault="00D14A18" w:rsidP="00D14A18"/>
    <w:p w14:paraId="57F6B8EB" w14:textId="77777777" w:rsidR="00D14A18" w:rsidRDefault="00D14A18" w:rsidP="00D14A18"/>
    <w:p w14:paraId="2F20F68C" w14:textId="77777777" w:rsidR="00D14A18" w:rsidRDefault="00D14A18" w:rsidP="00D14A18"/>
    <w:p w14:paraId="1E9F3745" w14:textId="77777777" w:rsidR="00D14A18" w:rsidRDefault="00D14A18" w:rsidP="00D14A18"/>
    <w:p w14:paraId="5D1826CF" w14:textId="77777777" w:rsidR="00D14A18" w:rsidRDefault="00D14A18" w:rsidP="00D14A18"/>
    <w:p w14:paraId="0295BDC0" w14:textId="77777777" w:rsidR="00D14A18" w:rsidRDefault="00D14A18" w:rsidP="00D14A18"/>
    <w:p w14:paraId="459D2D77" w14:textId="77777777" w:rsidR="00D14A18" w:rsidRDefault="00D14A18" w:rsidP="00D14A18"/>
    <w:p w14:paraId="39E60959" w14:textId="77777777" w:rsidR="00D14A18" w:rsidRDefault="00D14A18" w:rsidP="00D14A18"/>
    <w:p w14:paraId="49016104" w14:textId="77777777" w:rsidR="00D14A18" w:rsidRDefault="00D14A18" w:rsidP="00D14A18"/>
    <w:p w14:paraId="54F3AD72" w14:textId="77777777" w:rsidR="00D14A18" w:rsidRDefault="00D14A18" w:rsidP="00D14A18"/>
    <w:p w14:paraId="2351C3D6" w14:textId="77777777" w:rsidR="00D14A18" w:rsidRDefault="00D14A18" w:rsidP="00D14A18"/>
    <w:p w14:paraId="12D29EEB" w14:textId="77777777" w:rsidR="00D14A18" w:rsidRDefault="00D14A18" w:rsidP="00D14A18"/>
    <w:p w14:paraId="35275D5C" w14:textId="77777777" w:rsidR="00D14A18" w:rsidRDefault="00D14A18" w:rsidP="00D14A18"/>
    <w:p w14:paraId="423570E8" w14:textId="77777777" w:rsidR="00D14A18" w:rsidRDefault="00D14A18" w:rsidP="00D14A18"/>
    <w:p w14:paraId="17394FFF" w14:textId="77777777" w:rsidR="00D14A18" w:rsidRDefault="00D14A18" w:rsidP="00D14A18"/>
    <w:p w14:paraId="0CBEA9B4" w14:textId="77777777" w:rsidR="00D14A18" w:rsidRDefault="00D14A18" w:rsidP="00D14A18"/>
    <w:p w14:paraId="09811D7C" w14:textId="77777777" w:rsidR="00D14A18" w:rsidRDefault="00D14A18" w:rsidP="00D14A18"/>
    <w:p w14:paraId="3954CF47" w14:textId="77777777" w:rsidR="00D14A18" w:rsidRDefault="00D14A18" w:rsidP="00D14A18"/>
    <w:p w14:paraId="05A0973C" w14:textId="77777777" w:rsidR="00D14A18" w:rsidRDefault="00D14A18" w:rsidP="00D14A18"/>
    <w:p w14:paraId="7CD6945D" w14:textId="77777777" w:rsidR="00D14A18" w:rsidRDefault="00D14A18" w:rsidP="00D14A18"/>
    <w:p w14:paraId="4F069D22" w14:textId="77777777" w:rsidR="00D14A18" w:rsidRPr="00811FCA" w:rsidRDefault="00D14A18" w:rsidP="00D14A18">
      <w:pPr>
        <w:pStyle w:val="Naslov2"/>
        <w:spacing w:line="360" w:lineRule="auto"/>
        <w:rPr>
          <w:rFonts w:ascii="Times New Roman" w:hAnsi="Times New Roman" w:cs="Times New Roman"/>
          <w:b/>
          <w:bCs/>
          <w:color w:val="auto"/>
          <w:sz w:val="24"/>
          <w:szCs w:val="24"/>
        </w:rPr>
      </w:pPr>
      <w:r w:rsidRPr="00811FCA">
        <w:rPr>
          <w:rFonts w:ascii="Times New Roman" w:hAnsi="Times New Roman" w:cs="Times New Roman"/>
          <w:b/>
          <w:bCs/>
          <w:color w:val="auto"/>
          <w:sz w:val="24"/>
          <w:szCs w:val="24"/>
        </w:rPr>
        <w:t>Struktura proračuna</w:t>
      </w:r>
    </w:p>
    <w:p w14:paraId="4BC70A2D" w14:textId="77777777" w:rsidR="00D14A18" w:rsidRPr="00811FCA" w:rsidRDefault="00D14A18" w:rsidP="00D14A18">
      <w:pPr>
        <w:rPr>
          <w:rFonts w:ascii="Times New Roman" w:hAnsi="Times New Roman" w:cs="Times New Roman"/>
          <w:sz w:val="24"/>
          <w:szCs w:val="24"/>
        </w:rPr>
      </w:pPr>
    </w:p>
    <w:p w14:paraId="2DDE3E9C" w14:textId="77777777" w:rsidR="00D14A18" w:rsidRPr="00811FCA" w:rsidRDefault="00D14A18" w:rsidP="00D14A18">
      <w:pPr>
        <w:rPr>
          <w:rFonts w:ascii="Times New Roman" w:hAnsi="Times New Roman" w:cs="Times New Roman"/>
          <w:sz w:val="24"/>
          <w:szCs w:val="24"/>
        </w:rPr>
      </w:pPr>
      <w:r w:rsidRPr="00811FCA">
        <w:rPr>
          <w:rFonts w:ascii="Times New Roman" w:hAnsi="Times New Roman" w:cs="Times New Roman"/>
          <w:b/>
          <w:sz w:val="24"/>
          <w:szCs w:val="24"/>
        </w:rPr>
        <w:t xml:space="preserve">Proračun Grada Varaždina </w:t>
      </w:r>
      <w:r w:rsidRPr="00811FCA">
        <w:rPr>
          <w:rFonts w:ascii="Times New Roman" w:hAnsi="Times New Roman" w:cs="Times New Roman"/>
          <w:sz w:val="24"/>
          <w:szCs w:val="24"/>
        </w:rPr>
        <w:t xml:space="preserve"> sastoji se od tri dijela:</w:t>
      </w:r>
    </w:p>
    <w:p w14:paraId="4214AD7B" w14:textId="77777777" w:rsidR="00D14A18" w:rsidRPr="00811FCA" w:rsidRDefault="00D14A18" w:rsidP="00D14A18">
      <w:pPr>
        <w:pStyle w:val="Odlomakpopisa"/>
        <w:numPr>
          <w:ilvl w:val="0"/>
          <w:numId w:val="2"/>
        </w:numPr>
        <w:spacing w:line="240" w:lineRule="auto"/>
        <w:ind w:firstLine="0"/>
        <w:rPr>
          <w:rFonts w:ascii="Times New Roman" w:hAnsi="Times New Roman" w:cs="Times New Roman"/>
          <w:sz w:val="24"/>
          <w:szCs w:val="24"/>
        </w:rPr>
      </w:pPr>
      <w:r w:rsidRPr="00811FCA">
        <w:rPr>
          <w:rFonts w:ascii="Times New Roman" w:hAnsi="Times New Roman" w:cs="Times New Roman"/>
          <w:b/>
          <w:sz w:val="24"/>
          <w:szCs w:val="24"/>
        </w:rPr>
        <w:t>opći dio proračuna</w:t>
      </w:r>
      <w:r w:rsidRPr="00811FCA">
        <w:rPr>
          <w:rFonts w:ascii="Times New Roman" w:hAnsi="Times New Roman" w:cs="Times New Roman"/>
          <w:sz w:val="24"/>
          <w:szCs w:val="24"/>
        </w:rPr>
        <w:t xml:space="preserve"> – sastoji se od Računa prihoda i rashoda te Računa financiranja u kojima su prihodi i primici prikazani prema prirodnim vrstama, a rashodi i izdaci prema ekonomskoj namjeni kojoj služe; </w:t>
      </w:r>
    </w:p>
    <w:p w14:paraId="2E50141D" w14:textId="77777777" w:rsidR="00D14A18" w:rsidRPr="00811FCA" w:rsidRDefault="00D14A18" w:rsidP="00D14A18">
      <w:pPr>
        <w:pStyle w:val="Odlomakpopisa"/>
        <w:numPr>
          <w:ilvl w:val="0"/>
          <w:numId w:val="2"/>
        </w:numPr>
        <w:spacing w:after="0" w:line="240" w:lineRule="auto"/>
        <w:ind w:left="714" w:firstLine="0"/>
        <w:rPr>
          <w:rFonts w:ascii="Times New Roman" w:hAnsi="Times New Roman" w:cs="Times New Roman"/>
          <w:sz w:val="24"/>
          <w:szCs w:val="24"/>
        </w:rPr>
      </w:pPr>
      <w:r w:rsidRPr="00811FCA">
        <w:rPr>
          <w:rFonts w:ascii="Times New Roman" w:hAnsi="Times New Roman" w:cs="Times New Roman"/>
          <w:b/>
          <w:sz w:val="24"/>
          <w:szCs w:val="24"/>
        </w:rPr>
        <w:t>posebni dio proračuna</w:t>
      </w:r>
      <w:r w:rsidRPr="00811FCA">
        <w:rPr>
          <w:rFonts w:ascii="Times New Roman" w:hAnsi="Times New Roman" w:cs="Times New Roman"/>
          <w:sz w:val="24"/>
          <w:szCs w:val="24"/>
        </w:rPr>
        <w:t xml:space="preserve"> – čine ga svi planirani rashodi i izdaci razvrstani prema propisanim proračunskim klasifikacijama;</w:t>
      </w:r>
    </w:p>
    <w:p w14:paraId="51205A80" w14:textId="77777777" w:rsidR="00D14A18" w:rsidRPr="00811FCA" w:rsidRDefault="00D14A18" w:rsidP="00D14A18">
      <w:pPr>
        <w:pStyle w:val="StandardWeb"/>
        <w:numPr>
          <w:ilvl w:val="0"/>
          <w:numId w:val="2"/>
        </w:numPr>
        <w:spacing w:before="0" w:beforeAutospacing="0" w:after="0" w:afterAutospacing="0" w:line="240" w:lineRule="auto"/>
        <w:ind w:left="714" w:firstLine="0"/>
        <w:contextualSpacing/>
      </w:pPr>
      <w:r w:rsidRPr="00811FCA">
        <w:rPr>
          <w:b/>
        </w:rPr>
        <w:t xml:space="preserve">obrazloženje proračuna </w:t>
      </w:r>
      <w:r w:rsidRPr="00811FCA">
        <w:t>– čine ga obrazloženje prihoda i rashoda, primitaka i izdataka proračuna jedinica lokalne i područne (regionalne) samouprave.</w:t>
      </w:r>
    </w:p>
    <w:p w14:paraId="613CC2A8" w14:textId="77777777" w:rsidR="00D14A18" w:rsidRPr="00856707" w:rsidRDefault="00D14A18" w:rsidP="00D14A18">
      <w:pPr>
        <w:pStyle w:val="StandardWeb"/>
        <w:spacing w:before="0" w:beforeAutospacing="0" w:after="0" w:afterAutospacing="0" w:line="240" w:lineRule="auto"/>
        <w:ind w:left="714"/>
        <w:contextualSpacing/>
      </w:pPr>
    </w:p>
    <w:p w14:paraId="73047EEB" w14:textId="77777777" w:rsidR="00D14A18" w:rsidRPr="00856707" w:rsidRDefault="00D14A18" w:rsidP="00D14A18">
      <w:pPr>
        <w:rPr>
          <w:rFonts w:ascii="Times New Roman" w:hAnsi="Times New Roman" w:cs="Times New Roman"/>
          <w:sz w:val="24"/>
          <w:szCs w:val="24"/>
        </w:rPr>
      </w:pPr>
      <w:r w:rsidRPr="00856707">
        <w:rPr>
          <w:rFonts w:ascii="Times New Roman" w:hAnsi="Times New Roman" w:cs="Times New Roman"/>
          <w:b/>
          <w:sz w:val="24"/>
          <w:szCs w:val="24"/>
        </w:rPr>
        <w:t>Proračunska klasifikacija</w:t>
      </w:r>
      <w:r w:rsidRPr="00856707">
        <w:rPr>
          <w:rFonts w:ascii="Times New Roman" w:hAnsi="Times New Roman" w:cs="Times New Roman"/>
          <w:sz w:val="24"/>
          <w:szCs w:val="24"/>
        </w:rPr>
        <w:t xml:space="preserve"> - sustav prikazivanja proračunskih prihoda i rashoda po određenim kriterijima, a razlikuju se:</w:t>
      </w:r>
    </w:p>
    <w:p w14:paraId="0E86000D" w14:textId="77777777" w:rsidR="00D14A18" w:rsidRPr="00856707" w:rsidRDefault="00D14A18" w:rsidP="00D14A18">
      <w:pPr>
        <w:pStyle w:val="Odlomakpopisa"/>
        <w:numPr>
          <w:ilvl w:val="0"/>
          <w:numId w:val="2"/>
        </w:numPr>
        <w:rPr>
          <w:rFonts w:ascii="Times New Roman" w:hAnsi="Times New Roman" w:cs="Times New Roman"/>
          <w:sz w:val="24"/>
          <w:szCs w:val="24"/>
        </w:rPr>
      </w:pPr>
      <w:r w:rsidRPr="00856707">
        <w:rPr>
          <w:rFonts w:ascii="Times New Roman" w:hAnsi="Times New Roman" w:cs="Times New Roman"/>
          <w:b/>
          <w:sz w:val="24"/>
          <w:szCs w:val="24"/>
        </w:rPr>
        <w:t>organizacijska</w:t>
      </w:r>
      <w:r w:rsidRPr="00856707">
        <w:rPr>
          <w:rFonts w:ascii="Times New Roman" w:hAnsi="Times New Roman" w:cs="Times New Roman"/>
          <w:sz w:val="24"/>
          <w:szCs w:val="24"/>
        </w:rPr>
        <w:t xml:space="preserve"> – sadrži povezane i međusobno usklađene cjeline proračuna i proračunskih korisnika koje odgovarajućim materijalnim sredstvima ostvaruju postavljene ciljeve;</w:t>
      </w:r>
    </w:p>
    <w:p w14:paraId="45BC9DCE" w14:textId="77777777" w:rsidR="00D14A18" w:rsidRPr="00856707" w:rsidRDefault="00D14A18" w:rsidP="00D14A18">
      <w:pPr>
        <w:pStyle w:val="Odlomakpopisa"/>
        <w:numPr>
          <w:ilvl w:val="0"/>
          <w:numId w:val="2"/>
        </w:numPr>
        <w:rPr>
          <w:rFonts w:ascii="Times New Roman" w:hAnsi="Times New Roman" w:cs="Times New Roman"/>
          <w:sz w:val="24"/>
          <w:szCs w:val="24"/>
        </w:rPr>
      </w:pPr>
      <w:r w:rsidRPr="00856707">
        <w:rPr>
          <w:rFonts w:ascii="Times New Roman" w:hAnsi="Times New Roman" w:cs="Times New Roman"/>
          <w:b/>
          <w:sz w:val="24"/>
          <w:szCs w:val="24"/>
        </w:rPr>
        <w:t>programska</w:t>
      </w:r>
      <w:r w:rsidRPr="00856707">
        <w:rPr>
          <w:rFonts w:ascii="Times New Roman" w:hAnsi="Times New Roman" w:cs="Times New Roman"/>
          <w:sz w:val="24"/>
          <w:szCs w:val="24"/>
        </w:rPr>
        <w:t xml:space="preserve"> – sadrži rashode i izdatke iskazane kroz aktivnosti i projekte koji su povezani u programe temeljem zajedničkih ciljeva;</w:t>
      </w:r>
    </w:p>
    <w:p w14:paraId="6FFED2AE" w14:textId="77777777" w:rsidR="00D14A18" w:rsidRPr="00856707" w:rsidRDefault="00D14A18" w:rsidP="00D14A18">
      <w:pPr>
        <w:pStyle w:val="Odlomakpopisa"/>
        <w:numPr>
          <w:ilvl w:val="0"/>
          <w:numId w:val="2"/>
        </w:numPr>
        <w:rPr>
          <w:rFonts w:ascii="Times New Roman" w:hAnsi="Times New Roman" w:cs="Times New Roman"/>
          <w:sz w:val="24"/>
          <w:szCs w:val="24"/>
        </w:rPr>
      </w:pPr>
      <w:r w:rsidRPr="00856707">
        <w:rPr>
          <w:rFonts w:ascii="Times New Roman" w:hAnsi="Times New Roman" w:cs="Times New Roman"/>
          <w:b/>
          <w:sz w:val="24"/>
          <w:szCs w:val="24"/>
        </w:rPr>
        <w:t>funkcijska</w:t>
      </w:r>
      <w:r w:rsidRPr="00856707">
        <w:rPr>
          <w:rFonts w:ascii="Times New Roman" w:hAnsi="Times New Roman" w:cs="Times New Roman"/>
          <w:sz w:val="24"/>
          <w:szCs w:val="24"/>
        </w:rPr>
        <w:t xml:space="preserve"> – sadrži rashode razvrstane prema njihovoj namjeri;</w:t>
      </w:r>
    </w:p>
    <w:p w14:paraId="1DE55E2A" w14:textId="77777777" w:rsidR="00D14A18" w:rsidRPr="00856707" w:rsidRDefault="00D14A18" w:rsidP="00D14A18">
      <w:pPr>
        <w:pStyle w:val="Odlomakpopisa"/>
        <w:numPr>
          <w:ilvl w:val="0"/>
          <w:numId w:val="2"/>
        </w:numPr>
        <w:rPr>
          <w:rFonts w:ascii="Times New Roman" w:hAnsi="Times New Roman" w:cs="Times New Roman"/>
          <w:sz w:val="24"/>
          <w:szCs w:val="24"/>
        </w:rPr>
      </w:pPr>
      <w:r w:rsidRPr="00856707">
        <w:rPr>
          <w:rFonts w:ascii="Times New Roman" w:hAnsi="Times New Roman" w:cs="Times New Roman"/>
          <w:b/>
          <w:sz w:val="24"/>
          <w:szCs w:val="24"/>
        </w:rPr>
        <w:t>ekonomska</w:t>
      </w:r>
      <w:r w:rsidRPr="00856707">
        <w:rPr>
          <w:rFonts w:ascii="Times New Roman" w:hAnsi="Times New Roman" w:cs="Times New Roman"/>
          <w:sz w:val="24"/>
          <w:szCs w:val="24"/>
        </w:rPr>
        <w:t xml:space="preserve"> – sadrži prihode i primitke prema prirodnim vrstama te rashode i izdatke prema njihovoj ekonomskoj namjeni;</w:t>
      </w:r>
    </w:p>
    <w:p w14:paraId="035A3BF7" w14:textId="77777777" w:rsidR="00D14A18" w:rsidRPr="00856707" w:rsidRDefault="00D14A18" w:rsidP="00D14A18">
      <w:pPr>
        <w:pStyle w:val="Odlomakpopisa"/>
        <w:numPr>
          <w:ilvl w:val="0"/>
          <w:numId w:val="2"/>
        </w:numPr>
        <w:rPr>
          <w:rFonts w:ascii="Times New Roman" w:hAnsi="Times New Roman" w:cs="Times New Roman"/>
          <w:sz w:val="24"/>
          <w:szCs w:val="24"/>
        </w:rPr>
      </w:pPr>
      <w:r w:rsidRPr="00856707">
        <w:rPr>
          <w:rFonts w:ascii="Times New Roman" w:hAnsi="Times New Roman" w:cs="Times New Roman"/>
          <w:b/>
          <w:sz w:val="24"/>
          <w:szCs w:val="24"/>
        </w:rPr>
        <w:t>izvori financiranja</w:t>
      </w:r>
      <w:r w:rsidRPr="00856707">
        <w:rPr>
          <w:rFonts w:ascii="Times New Roman" w:hAnsi="Times New Roman" w:cs="Times New Roman"/>
          <w:sz w:val="24"/>
          <w:szCs w:val="24"/>
        </w:rPr>
        <w:t xml:space="preserve"> – sadrži prihode i primitke iz kojih se podmiruju rashodi i izdaci određene vrste i namjene</w:t>
      </w:r>
      <w:r>
        <w:rPr>
          <w:rFonts w:ascii="Times New Roman" w:hAnsi="Times New Roman" w:cs="Times New Roman"/>
          <w:sz w:val="24"/>
          <w:szCs w:val="24"/>
        </w:rPr>
        <w:t>;</w:t>
      </w:r>
    </w:p>
    <w:p w14:paraId="37BB29E1" w14:textId="77777777" w:rsidR="00D14A18" w:rsidRPr="00856707" w:rsidRDefault="00D14A18" w:rsidP="00D14A18">
      <w:pPr>
        <w:pStyle w:val="Odlomakpopisa"/>
        <w:numPr>
          <w:ilvl w:val="0"/>
          <w:numId w:val="2"/>
        </w:numPr>
        <w:rPr>
          <w:rFonts w:ascii="Times New Roman" w:hAnsi="Times New Roman" w:cs="Times New Roman"/>
          <w:sz w:val="24"/>
          <w:szCs w:val="24"/>
        </w:rPr>
      </w:pPr>
      <w:r w:rsidRPr="00856707">
        <w:rPr>
          <w:rFonts w:ascii="Times New Roman" w:hAnsi="Times New Roman" w:cs="Times New Roman"/>
          <w:b/>
          <w:sz w:val="24"/>
          <w:szCs w:val="24"/>
        </w:rPr>
        <w:t>lokacijska</w:t>
      </w:r>
      <w:r w:rsidRPr="00856707">
        <w:rPr>
          <w:rFonts w:ascii="Times New Roman" w:hAnsi="Times New Roman" w:cs="Times New Roman"/>
          <w:sz w:val="24"/>
          <w:szCs w:val="24"/>
        </w:rPr>
        <w:t xml:space="preserve"> – sadrži rashode i izdatke razvrstane za RH i za inozemstvo</w:t>
      </w:r>
      <w:r>
        <w:rPr>
          <w:rFonts w:ascii="Times New Roman" w:hAnsi="Times New Roman" w:cs="Times New Roman"/>
          <w:sz w:val="24"/>
          <w:szCs w:val="24"/>
        </w:rPr>
        <w:t>.</w:t>
      </w:r>
    </w:p>
    <w:p w14:paraId="22426A97" w14:textId="77777777" w:rsidR="00D14A18" w:rsidRPr="00856707" w:rsidRDefault="00D14A18" w:rsidP="00D14A18">
      <w:pPr>
        <w:pStyle w:val="Citat"/>
        <w:jc w:val="center"/>
        <w:rPr>
          <w:rStyle w:val="Istaknuto"/>
          <w:rFonts w:ascii="Times New Roman" w:hAnsi="Times New Roman" w:cs="Times New Roman"/>
          <w:b/>
          <w:bCs/>
          <w:color w:val="70AD47" w:themeColor="accent6"/>
          <w:sz w:val="24"/>
          <w:szCs w:val="24"/>
        </w:rPr>
      </w:pPr>
    </w:p>
    <w:p w14:paraId="68FFF221" w14:textId="77777777" w:rsidR="00D14A18" w:rsidRDefault="00D14A18" w:rsidP="00D14A18"/>
    <w:p w14:paraId="3DF8BC92" w14:textId="77777777" w:rsidR="00D14A18" w:rsidRDefault="00D14A18" w:rsidP="00D14A18"/>
    <w:p w14:paraId="0A670C0D" w14:textId="77777777" w:rsidR="00D14A18" w:rsidRDefault="00D14A18" w:rsidP="00D14A18"/>
    <w:p w14:paraId="2E460E7D" w14:textId="77777777" w:rsidR="00D14A18" w:rsidRDefault="00D14A18" w:rsidP="00D14A18"/>
    <w:p w14:paraId="50A69AFD" w14:textId="77777777" w:rsidR="00D14A18" w:rsidRDefault="00D14A18" w:rsidP="00D14A18"/>
    <w:p w14:paraId="2294C3FD" w14:textId="77777777" w:rsidR="00D14A18" w:rsidRDefault="00D14A18" w:rsidP="00D14A18"/>
    <w:p w14:paraId="402F7FDA" w14:textId="77777777" w:rsidR="00D14A18" w:rsidRDefault="00D14A18" w:rsidP="00D14A18"/>
    <w:p w14:paraId="794897D9" w14:textId="77777777" w:rsidR="00D14A18" w:rsidRDefault="00D14A18" w:rsidP="00D14A18"/>
    <w:p w14:paraId="70F64EE0" w14:textId="77777777" w:rsidR="00D14A18" w:rsidRDefault="00D14A18" w:rsidP="00D14A18"/>
    <w:p w14:paraId="343CC8B5" w14:textId="77777777" w:rsidR="00D14A18" w:rsidRDefault="00D14A18" w:rsidP="00D14A18"/>
    <w:p w14:paraId="1AEC9FCC" w14:textId="77777777" w:rsidR="00D14A18" w:rsidRDefault="00D14A18" w:rsidP="00D14A18"/>
    <w:p w14:paraId="02BB1900" w14:textId="77777777" w:rsidR="00D14A18" w:rsidRDefault="00D14A18" w:rsidP="00D14A18"/>
    <w:p w14:paraId="5EBAB7D7" w14:textId="77777777" w:rsidR="00D14A18" w:rsidRDefault="00D14A18" w:rsidP="00D14A18"/>
    <w:p w14:paraId="3C2B9EB5" w14:textId="77777777" w:rsidR="00D14A18" w:rsidRDefault="00D14A18" w:rsidP="00D14A18"/>
    <w:p w14:paraId="707449F0" w14:textId="77777777" w:rsidR="00D14A18" w:rsidRDefault="00D14A18" w:rsidP="00D14A18"/>
    <w:p w14:paraId="38456144" w14:textId="1426A419" w:rsidR="00D14A18" w:rsidRPr="008F499A" w:rsidRDefault="00D14A18" w:rsidP="00D14A18">
      <w:pPr>
        <w:pStyle w:val="Citat"/>
        <w:jc w:val="center"/>
        <w:rPr>
          <w:rStyle w:val="Istaknuto"/>
          <w:rFonts w:ascii="Times New Roman" w:hAnsi="Times New Roman" w:cs="Times New Roman"/>
          <w:b/>
          <w:bCs/>
          <w:color w:val="auto"/>
          <w:sz w:val="24"/>
          <w:szCs w:val="24"/>
        </w:rPr>
      </w:pPr>
      <w:r w:rsidRPr="008F499A">
        <w:rPr>
          <w:rStyle w:val="Istaknuto"/>
          <w:rFonts w:ascii="Times New Roman" w:hAnsi="Times New Roman" w:cs="Times New Roman"/>
          <w:b/>
          <w:bCs/>
          <w:color w:val="auto"/>
          <w:sz w:val="24"/>
          <w:szCs w:val="24"/>
        </w:rPr>
        <w:t xml:space="preserve">PRORAČUN GRADA VARAŽDINA </w:t>
      </w:r>
    </w:p>
    <w:p w14:paraId="58B148E4" w14:textId="77777777" w:rsidR="00D14A18" w:rsidRPr="008F499A" w:rsidRDefault="00D14A18" w:rsidP="00D14A18">
      <w:pPr>
        <w:pStyle w:val="Citat"/>
        <w:jc w:val="center"/>
        <w:rPr>
          <w:rStyle w:val="Istaknuto"/>
          <w:rFonts w:ascii="Times New Roman" w:hAnsi="Times New Roman" w:cs="Times New Roman"/>
          <w:b/>
          <w:bCs/>
          <w:color w:val="auto"/>
          <w:sz w:val="24"/>
          <w:szCs w:val="24"/>
        </w:rPr>
      </w:pPr>
      <w:r w:rsidRPr="008F499A">
        <w:rPr>
          <w:rStyle w:val="Istaknuto"/>
          <w:rFonts w:ascii="Times New Roman" w:hAnsi="Times New Roman" w:cs="Times New Roman"/>
          <w:b/>
          <w:bCs/>
          <w:color w:val="auto"/>
          <w:sz w:val="24"/>
          <w:szCs w:val="24"/>
        </w:rPr>
        <w:t>ZA 2024. GODINU I PROJEKCIJE ZA 2025. I 2026. GODINU</w:t>
      </w:r>
    </w:p>
    <w:p w14:paraId="24462ED8" w14:textId="77777777" w:rsidR="00D14A18" w:rsidRPr="00856707" w:rsidRDefault="00D14A18" w:rsidP="00D14A18">
      <w:pPr>
        <w:rPr>
          <w:rFonts w:ascii="Times New Roman" w:hAnsi="Times New Roman" w:cs="Times New Roman"/>
          <w:sz w:val="24"/>
          <w:szCs w:val="24"/>
        </w:rPr>
      </w:pPr>
    </w:p>
    <w:p w14:paraId="337FCA0B" w14:textId="77777777" w:rsidR="00D14A18" w:rsidRPr="00C356EB" w:rsidRDefault="00D14A18" w:rsidP="00D14A18">
      <w:pPr>
        <w:rPr>
          <w:rFonts w:ascii="Times New Roman" w:hAnsi="Times New Roman" w:cs="Times New Roman"/>
          <w:sz w:val="24"/>
          <w:szCs w:val="24"/>
        </w:rPr>
      </w:pPr>
      <w:r w:rsidRPr="00C356EB">
        <w:rPr>
          <w:rFonts w:ascii="Times New Roman" w:hAnsi="Times New Roman" w:cs="Times New Roman"/>
          <w:sz w:val="24"/>
          <w:szCs w:val="24"/>
        </w:rPr>
        <w:t xml:space="preserve">Ukupni prihodi i primici  za  2024. godini planirani su u iznosu od 108.065.411,19 EUR, a ukupni rashodi i izdaci u iznosu od 112.515.644,19 EUR. </w:t>
      </w:r>
    </w:p>
    <w:p w14:paraId="4876DCF7" w14:textId="77777777" w:rsidR="00D14A18" w:rsidRPr="00C356EB" w:rsidRDefault="00D14A18" w:rsidP="00D14A18">
      <w:pPr>
        <w:rPr>
          <w:rFonts w:ascii="Times New Roman" w:hAnsi="Times New Roman" w:cs="Times New Roman"/>
          <w:sz w:val="24"/>
          <w:szCs w:val="24"/>
        </w:rPr>
      </w:pPr>
      <w:r w:rsidRPr="00C356EB">
        <w:rPr>
          <w:rFonts w:ascii="Times New Roman" w:hAnsi="Times New Roman" w:cs="Times New Roman"/>
          <w:sz w:val="24"/>
          <w:szCs w:val="24"/>
        </w:rPr>
        <w:t xml:space="preserve">Razlika između ukupnih prihoda i  rashoda je višak prihoda i primitaka koji se prenosi u 2024. godinu u visini od 4.450.233,00 EUR. </w:t>
      </w:r>
    </w:p>
    <w:p w14:paraId="1307C8D3" w14:textId="77777777" w:rsidR="00D14A18" w:rsidRPr="00C356EB" w:rsidRDefault="00D14A18" w:rsidP="00D14A18">
      <w:pPr>
        <w:jc w:val="both"/>
        <w:rPr>
          <w:rFonts w:ascii="Times New Roman" w:hAnsi="Times New Roman" w:cs="Times New Roman"/>
          <w:sz w:val="24"/>
          <w:szCs w:val="24"/>
        </w:rPr>
      </w:pPr>
      <w:r w:rsidRPr="00C356EB">
        <w:rPr>
          <w:rFonts w:ascii="Times New Roman" w:hAnsi="Times New Roman" w:cs="Times New Roman"/>
          <w:sz w:val="24"/>
          <w:szCs w:val="24"/>
        </w:rPr>
        <w:t xml:space="preserve">Višak se sastoji od neiskorištenih  primitaka od zaduživanja (izdanje obveznica) iz 2023. godine u iznosu od 976.351,00 EUR,  višak općih prihoda i primitaka u iznosu od 2.550.000,00  EUR, dio je višak komunalnog doprinosa u iznosu  od 800.000,00 EUR, a 123.882,00 EUR je višak prihoda proračunskih korisnika. </w:t>
      </w:r>
    </w:p>
    <w:p w14:paraId="2CAFF901" w14:textId="77777777" w:rsidR="00D14A18" w:rsidRPr="00856707" w:rsidRDefault="00D14A18" w:rsidP="00D14A18">
      <w:pPr>
        <w:jc w:val="both"/>
        <w:rPr>
          <w:rFonts w:ascii="Times New Roman" w:hAnsi="Times New Roman" w:cs="Times New Roman"/>
          <w:sz w:val="24"/>
          <w:szCs w:val="24"/>
        </w:rPr>
      </w:pPr>
    </w:p>
    <w:p w14:paraId="75F07799" w14:textId="77777777" w:rsidR="00D14A18" w:rsidRDefault="00D14A18" w:rsidP="00D14A18">
      <w:pPr>
        <w:pStyle w:val="Opisslike"/>
        <w:jc w:val="center"/>
        <w:rPr>
          <w:rFonts w:ascii="Times New Roman" w:hAnsi="Times New Roman" w:cs="Times New Roman"/>
          <w:b w:val="0"/>
          <w:iCs/>
          <w:color w:val="auto"/>
          <w:sz w:val="24"/>
          <w:szCs w:val="24"/>
        </w:rPr>
      </w:pPr>
      <w:r>
        <w:rPr>
          <w:rFonts w:ascii="Times New Roman" w:hAnsi="Times New Roman" w:cs="Times New Roman"/>
          <w:b w:val="0"/>
          <w:iCs/>
          <w:color w:val="auto"/>
          <w:sz w:val="24"/>
          <w:szCs w:val="24"/>
        </w:rPr>
        <w:t>GRAFIKON 1</w:t>
      </w:r>
      <w:r w:rsidRPr="008F499A">
        <w:rPr>
          <w:rFonts w:ascii="Times New Roman" w:hAnsi="Times New Roman" w:cs="Times New Roman"/>
          <w:b w:val="0"/>
          <w:iCs/>
          <w:color w:val="auto"/>
          <w:sz w:val="24"/>
          <w:szCs w:val="24"/>
        </w:rPr>
        <w:t>:</w:t>
      </w:r>
      <w:r w:rsidRPr="008F499A">
        <w:rPr>
          <w:rFonts w:ascii="Times New Roman" w:hAnsi="Times New Roman" w:cs="Times New Roman"/>
          <w:iCs/>
          <w:color w:val="auto"/>
          <w:sz w:val="24"/>
          <w:szCs w:val="24"/>
        </w:rPr>
        <w:t xml:space="preserve">  </w:t>
      </w:r>
      <w:r w:rsidRPr="008F499A">
        <w:rPr>
          <w:rFonts w:ascii="Times New Roman" w:hAnsi="Times New Roman" w:cs="Times New Roman"/>
          <w:b w:val="0"/>
          <w:iCs/>
          <w:color w:val="auto"/>
          <w:sz w:val="24"/>
          <w:szCs w:val="24"/>
        </w:rPr>
        <w:t>PLANIRANI</w:t>
      </w:r>
      <w:r w:rsidRPr="008F499A">
        <w:rPr>
          <w:rFonts w:ascii="Times New Roman" w:hAnsi="Times New Roman" w:cs="Times New Roman"/>
          <w:iCs/>
          <w:color w:val="auto"/>
          <w:sz w:val="24"/>
          <w:szCs w:val="24"/>
        </w:rPr>
        <w:t xml:space="preserve"> </w:t>
      </w:r>
      <w:r w:rsidRPr="008F499A">
        <w:rPr>
          <w:rFonts w:ascii="Times New Roman" w:hAnsi="Times New Roman" w:cs="Times New Roman"/>
          <w:b w:val="0"/>
          <w:iCs/>
          <w:color w:val="auto"/>
          <w:sz w:val="24"/>
          <w:szCs w:val="24"/>
        </w:rPr>
        <w:t>PRIHODI I RASHODI U PRORAČUNU  GRADA VARAŽDINA ZA 2024. GODINU I PROJEKCIJE ZA 2025. I 2026. GODINU</w:t>
      </w:r>
    </w:p>
    <w:p w14:paraId="2529196D" w14:textId="77777777" w:rsidR="00D14A18" w:rsidRDefault="00D14A18" w:rsidP="00D14A18"/>
    <w:p w14:paraId="34C1335B" w14:textId="77777777" w:rsidR="00D14A18" w:rsidRPr="00DE64EF" w:rsidRDefault="00D14A18" w:rsidP="00D14A18"/>
    <w:p w14:paraId="72DBEBD8" w14:textId="77777777" w:rsidR="00D14A18" w:rsidRPr="00ED0025" w:rsidRDefault="00D14A18" w:rsidP="00D14A18">
      <w:pPr>
        <w:tabs>
          <w:tab w:val="left" w:pos="8222"/>
        </w:tabs>
        <w:rPr>
          <w:rFonts w:cs="Times New Roman"/>
          <w:b/>
          <w:color w:val="FF0000"/>
          <w:sz w:val="24"/>
          <w:szCs w:val="24"/>
          <w:u w:val="single"/>
        </w:rPr>
      </w:pPr>
      <w:r w:rsidRPr="00EE5458">
        <w:rPr>
          <w:rFonts w:cs="Times New Roman"/>
          <w:b/>
          <w:noProof/>
          <w:color w:val="FF0000"/>
          <w:sz w:val="24"/>
          <w:szCs w:val="24"/>
          <w:u w:val="single"/>
        </w:rPr>
        <w:drawing>
          <wp:inline distT="0" distB="0" distL="0" distR="0" wp14:anchorId="01328A50" wp14:editId="0AF0C880">
            <wp:extent cx="5772150" cy="3931920"/>
            <wp:effectExtent l="0" t="0" r="0" b="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9F3A9BD" w14:textId="77777777" w:rsidR="00D14A18" w:rsidRDefault="00D14A18" w:rsidP="00D14A18">
      <w:pPr>
        <w:pStyle w:val="StandardWeb"/>
        <w:jc w:val="both"/>
        <w:rPr>
          <w:rFonts w:asciiTheme="minorHAnsi" w:hAnsiTheme="minorHAnsi"/>
          <w:b/>
          <w:color w:val="7030A0"/>
        </w:rPr>
      </w:pPr>
    </w:p>
    <w:p w14:paraId="13C3A3A3" w14:textId="77777777" w:rsidR="00D14A18" w:rsidRDefault="00D14A18" w:rsidP="00D14A18">
      <w:pPr>
        <w:pStyle w:val="StandardWeb"/>
        <w:jc w:val="both"/>
        <w:rPr>
          <w:rFonts w:asciiTheme="minorHAnsi" w:hAnsiTheme="minorHAnsi"/>
          <w:b/>
          <w:color w:val="7030A0"/>
        </w:rPr>
      </w:pPr>
    </w:p>
    <w:p w14:paraId="09E043CA" w14:textId="7412E637" w:rsidR="00D14A18" w:rsidRPr="00856707" w:rsidRDefault="00C61EBA" w:rsidP="00D14A18">
      <w:pPr>
        <w:pStyle w:val="StandardWeb"/>
        <w:jc w:val="both"/>
        <w:rPr>
          <w:b/>
        </w:rPr>
      </w:pPr>
      <w:r>
        <w:rPr>
          <w:b/>
        </w:rPr>
        <w:lastRenderedPageBreak/>
        <w:t>P</w:t>
      </w:r>
      <w:r w:rsidR="00D14A18" w:rsidRPr="00856707">
        <w:rPr>
          <w:b/>
        </w:rPr>
        <w:t>RIHODI  I PRIMICI PRORAČUNA</w:t>
      </w:r>
    </w:p>
    <w:p w14:paraId="7B954E0F" w14:textId="77777777" w:rsidR="00D14A18" w:rsidRPr="00856707" w:rsidRDefault="00D14A18" w:rsidP="00D14A18">
      <w:pPr>
        <w:autoSpaceDE w:val="0"/>
        <w:autoSpaceDN w:val="0"/>
        <w:adjustRightInd w:val="0"/>
        <w:ind w:firstLine="708"/>
        <w:jc w:val="both"/>
        <w:rPr>
          <w:rFonts w:ascii="Times New Roman" w:hAnsi="Times New Roman" w:cs="Times New Roman"/>
          <w:sz w:val="24"/>
          <w:szCs w:val="24"/>
        </w:rPr>
      </w:pPr>
      <w:r w:rsidRPr="00856707">
        <w:rPr>
          <w:rFonts w:ascii="Times New Roman" w:hAnsi="Times New Roman" w:cs="Times New Roman"/>
          <w:sz w:val="24"/>
          <w:szCs w:val="24"/>
        </w:rPr>
        <w:t>Ukupni prihodi i primici planirani su u iznosu od 108.065.411,19 EUR .  Sastoje se od Prihoda poslovanja koji su u 2024. godini planirani u iznosu od 95.773.061,19 EUR, prihoda od prodaje nefinancijske imovine u iznosu od 6.892.350,00 EUR (prihodi od prodaje građevinskog zemljišta, prihodi i anuiteti od prodaje stanova), dok su primici od financijske imovine i zaduživanja planirani u iznosu od 5.400.000,00 EUR (kredit za LED rasvjetu i izgradnju stanova).</w:t>
      </w:r>
    </w:p>
    <w:p w14:paraId="29E07FB3" w14:textId="77777777" w:rsidR="00D14A18" w:rsidRPr="00FB4062" w:rsidRDefault="00D14A18" w:rsidP="00D14A18">
      <w:pPr>
        <w:pStyle w:val="Opisslike"/>
        <w:jc w:val="center"/>
        <w:rPr>
          <w:rFonts w:ascii="Times New Roman" w:hAnsi="Times New Roman" w:cs="Times New Roman"/>
          <w:b w:val="0"/>
          <w:iCs/>
          <w:color w:val="auto"/>
          <w:sz w:val="24"/>
          <w:szCs w:val="24"/>
        </w:rPr>
      </w:pPr>
    </w:p>
    <w:p w14:paraId="248FBF62" w14:textId="77777777" w:rsidR="00D14A18" w:rsidRDefault="00D14A18" w:rsidP="00D14A18">
      <w:pPr>
        <w:pStyle w:val="Opisslike"/>
        <w:jc w:val="center"/>
        <w:rPr>
          <w:rFonts w:ascii="Times New Roman" w:hAnsi="Times New Roman" w:cs="Times New Roman"/>
          <w:b w:val="0"/>
          <w:iCs/>
          <w:color w:val="auto"/>
          <w:sz w:val="24"/>
          <w:szCs w:val="24"/>
        </w:rPr>
      </w:pPr>
      <w:r>
        <w:rPr>
          <w:rFonts w:ascii="Times New Roman" w:hAnsi="Times New Roman" w:cs="Times New Roman"/>
          <w:b w:val="0"/>
          <w:iCs/>
          <w:color w:val="auto"/>
          <w:sz w:val="24"/>
          <w:szCs w:val="24"/>
        </w:rPr>
        <w:t xml:space="preserve">GRAFIKON </w:t>
      </w:r>
      <w:r w:rsidRPr="00FB4062">
        <w:rPr>
          <w:rFonts w:ascii="Times New Roman" w:hAnsi="Times New Roman" w:cs="Times New Roman"/>
          <w:b w:val="0"/>
          <w:iCs/>
          <w:color w:val="auto"/>
          <w:sz w:val="24"/>
          <w:szCs w:val="24"/>
        </w:rPr>
        <w:t xml:space="preserve">2:  </w:t>
      </w:r>
      <w:r>
        <w:rPr>
          <w:rFonts w:ascii="Times New Roman" w:hAnsi="Times New Roman" w:cs="Times New Roman"/>
          <w:b w:val="0"/>
          <w:iCs/>
          <w:color w:val="auto"/>
          <w:sz w:val="24"/>
          <w:szCs w:val="24"/>
        </w:rPr>
        <w:t>VISINA OSTVARENIH PRIHODA I PRIMITAKA U PRORAČUNU GRADA VARAŽDINA ZA 2023., PLANIRANIH PRIHODAI I PRIMITAKAU PLANU ZA 2024. GODINU I PROJEKCIJE ZA 2025. I 2025. GODINU</w:t>
      </w:r>
    </w:p>
    <w:p w14:paraId="39ADE5C6" w14:textId="77777777" w:rsidR="00D14A18" w:rsidRPr="00DE64EF" w:rsidRDefault="00D14A18" w:rsidP="00D14A18"/>
    <w:p w14:paraId="5F54A83B" w14:textId="77777777" w:rsidR="00D14A18" w:rsidRDefault="00D14A18" w:rsidP="00D14A18">
      <w:pPr>
        <w:pStyle w:val="Opisslike"/>
      </w:pPr>
      <w:r>
        <w:rPr>
          <w:noProof/>
        </w:rPr>
        <w:drawing>
          <wp:inline distT="0" distB="0" distL="0" distR="0" wp14:anchorId="52489B22" wp14:editId="46745B61">
            <wp:extent cx="5829300" cy="4015740"/>
            <wp:effectExtent l="0" t="0" r="0" b="3810"/>
            <wp:docPr id="1977985623" name="Grafikon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DC6CE54" w14:textId="77777777" w:rsidR="00D14A18" w:rsidRPr="00281D97" w:rsidRDefault="00D14A18" w:rsidP="00D14A18">
      <w:pPr>
        <w:keepNext/>
        <w:rPr>
          <w:rFonts w:asciiTheme="majorHAnsi" w:hAnsiTheme="majorHAnsi"/>
          <w:b/>
          <w:color w:val="336699"/>
        </w:rPr>
      </w:pPr>
    </w:p>
    <w:p w14:paraId="5EE63FC2" w14:textId="77777777" w:rsidR="00D14A18" w:rsidRPr="00D358D5" w:rsidRDefault="00D14A18" w:rsidP="00D14A18">
      <w:pPr>
        <w:keepNext/>
      </w:pPr>
      <w:r w:rsidRPr="00D358D5">
        <w:rPr>
          <w:rFonts w:asciiTheme="majorHAnsi" w:hAnsiTheme="majorHAnsi"/>
          <w:b/>
        </w:rPr>
        <w:t xml:space="preserve"> Vrste  proračunskih prihoda</w:t>
      </w:r>
      <w:r w:rsidRPr="00D358D5">
        <w:t xml:space="preserve"> </w:t>
      </w:r>
    </w:p>
    <w:p w14:paraId="4228EE1C" w14:textId="77777777" w:rsidR="00D14A18" w:rsidRDefault="00D14A18" w:rsidP="00D14A18">
      <w:pPr>
        <w:pStyle w:val="StandardWeb"/>
        <w:ind w:firstLine="709"/>
        <w:jc w:val="both"/>
      </w:pPr>
      <w:r w:rsidRPr="00C858D0">
        <w:t xml:space="preserve">U </w:t>
      </w:r>
      <w:r>
        <w:t>proračunskim prihodima i primicima</w:t>
      </w:r>
      <w:r w:rsidRPr="00C858D0">
        <w:t xml:space="preserve"> najveći </w:t>
      </w:r>
      <w:r>
        <w:t>u</w:t>
      </w:r>
      <w:r w:rsidRPr="00C858D0">
        <w:t>dio čine prihodi od poreza (</w:t>
      </w:r>
      <w:r>
        <w:t>31,77</w:t>
      </w:r>
      <w:r w:rsidRPr="00C858D0">
        <w:t>%), pomoći iz inozemstva (darovnice) i od subjekata unutar opće države (</w:t>
      </w:r>
      <w:r>
        <w:t>41,58</w:t>
      </w:r>
      <w:r w:rsidRPr="00C858D0">
        <w:t>%), prihodi od administrativnih pristojbi po posebnim propisima i naknade (</w:t>
      </w:r>
      <w:r>
        <w:t>10,17</w:t>
      </w:r>
      <w:r w:rsidRPr="00C858D0">
        <w:t>%), prihodi od imovine (</w:t>
      </w:r>
      <w:r>
        <w:t>3,82</w:t>
      </w:r>
      <w:r w:rsidRPr="00C858D0">
        <w:t>%), prihodi od prodaje proizvoda i pruženih usluga (</w:t>
      </w:r>
      <w:r>
        <w:t>1,16</w:t>
      </w:r>
      <w:r w:rsidRPr="00C858D0">
        <w:t>%)</w:t>
      </w:r>
      <w:r>
        <w:t>,</w:t>
      </w:r>
      <w:r w:rsidRPr="00C858D0">
        <w:t xml:space="preserve"> kazne i ostali prihodi (</w:t>
      </w:r>
      <w:r>
        <w:t>0,13</w:t>
      </w:r>
      <w:r w:rsidRPr="00C858D0">
        <w:t>%)</w:t>
      </w:r>
      <w:r>
        <w:t xml:space="preserve">, </w:t>
      </w:r>
      <w:r w:rsidRPr="00900635">
        <w:t xml:space="preserve"> </w:t>
      </w:r>
      <w:r>
        <w:t>p</w:t>
      </w:r>
      <w:r w:rsidRPr="00900635">
        <w:t xml:space="preserve">rihodi od prodaje </w:t>
      </w:r>
      <w:proofErr w:type="spellStart"/>
      <w:r w:rsidRPr="00900635">
        <w:t>neproizvedene</w:t>
      </w:r>
      <w:proofErr w:type="spellEnd"/>
      <w:r w:rsidRPr="00900635">
        <w:t xml:space="preserve"> dugotrajne imovine</w:t>
      </w:r>
      <w:r>
        <w:t xml:space="preserve"> (2,84%), p</w:t>
      </w:r>
      <w:r w:rsidRPr="00900635">
        <w:t>rihodi od prodaje proizvedene dugotrajne imovine</w:t>
      </w:r>
      <w:r>
        <w:t xml:space="preserve"> (3,53%) i p</w:t>
      </w:r>
      <w:r w:rsidRPr="00900635">
        <w:t>rimici od zaduživanja</w:t>
      </w:r>
      <w:r>
        <w:t xml:space="preserve"> (5,00%).</w:t>
      </w:r>
    </w:p>
    <w:p w14:paraId="374392F2" w14:textId="77777777" w:rsidR="00D14A18" w:rsidRDefault="00D14A18" w:rsidP="00D14A18">
      <w:pPr>
        <w:rPr>
          <w:rFonts w:cs="Times New Roman"/>
        </w:rPr>
      </w:pPr>
    </w:p>
    <w:p w14:paraId="36692189" w14:textId="77777777" w:rsidR="00D14A18" w:rsidRDefault="00D14A18" w:rsidP="00D14A18">
      <w:pPr>
        <w:rPr>
          <w:rFonts w:cs="Times New Roman"/>
          <w:i/>
        </w:rPr>
      </w:pPr>
    </w:p>
    <w:p w14:paraId="7A385384" w14:textId="77777777" w:rsidR="00D14A18" w:rsidRPr="00D14C5D" w:rsidRDefault="00D14A18" w:rsidP="00D14A18">
      <w:pPr>
        <w:jc w:val="center"/>
        <w:rPr>
          <w:rFonts w:ascii="Times New Roman" w:hAnsi="Times New Roman" w:cs="Times New Roman"/>
          <w:iCs/>
          <w:sz w:val="24"/>
          <w:szCs w:val="24"/>
        </w:rPr>
      </w:pPr>
      <w:r w:rsidRPr="00D14C5D">
        <w:rPr>
          <w:rFonts w:ascii="Times New Roman" w:hAnsi="Times New Roman" w:cs="Times New Roman"/>
          <w:iCs/>
          <w:sz w:val="24"/>
          <w:szCs w:val="24"/>
        </w:rPr>
        <w:t xml:space="preserve">GRAFIKON 3. STRUKTURA PRORAČUNSKIH PRIHODA  2024. GODINE </w:t>
      </w:r>
      <w:r>
        <w:rPr>
          <w:rFonts w:ascii="Times New Roman" w:hAnsi="Times New Roman" w:cs="Times New Roman"/>
          <w:iCs/>
          <w:sz w:val="24"/>
          <w:szCs w:val="24"/>
        </w:rPr>
        <w:t xml:space="preserve"> PREMA </w:t>
      </w:r>
      <w:r w:rsidRPr="00D14C5D">
        <w:rPr>
          <w:rFonts w:ascii="Times New Roman" w:hAnsi="Times New Roman" w:cs="Times New Roman"/>
          <w:iCs/>
          <w:sz w:val="24"/>
          <w:szCs w:val="24"/>
        </w:rPr>
        <w:t>EKONOMSKOJ KLASIFIKACIJI</w:t>
      </w:r>
    </w:p>
    <w:p w14:paraId="5DE8EB7C" w14:textId="77777777" w:rsidR="00D14A18" w:rsidRPr="00B77FA8" w:rsidRDefault="00D14A18" w:rsidP="00D14A18">
      <w:pPr>
        <w:jc w:val="center"/>
        <w:rPr>
          <w:rFonts w:cs="Times New Roman"/>
          <w:i/>
          <w:sz w:val="18"/>
          <w:szCs w:val="18"/>
        </w:rPr>
      </w:pPr>
    </w:p>
    <w:p w14:paraId="4B9EC9B1" w14:textId="77777777" w:rsidR="00D14A18" w:rsidRDefault="00D14A18" w:rsidP="00D14A18">
      <w:pPr>
        <w:jc w:val="center"/>
        <w:rPr>
          <w:rFonts w:ascii="Times New Roman" w:hAnsi="Times New Roman" w:cs="Times New Roman"/>
          <w:b/>
          <w:noProof/>
          <w:sz w:val="24"/>
          <w:szCs w:val="24"/>
          <w:lang w:eastAsia="hr-HR"/>
        </w:rPr>
      </w:pPr>
      <w:r>
        <w:rPr>
          <w:noProof/>
        </w:rPr>
        <w:drawing>
          <wp:inline distT="0" distB="0" distL="0" distR="0" wp14:anchorId="78E2694F" wp14:editId="20EEEA12">
            <wp:extent cx="5806440" cy="4792980"/>
            <wp:effectExtent l="0" t="0" r="3810" b="7620"/>
            <wp:docPr id="1361338427" name="Grafikon 1">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AC5662" w14:textId="77777777" w:rsidR="00D14A18" w:rsidRDefault="00D14A18" w:rsidP="00D14A18">
      <w:pPr>
        <w:rPr>
          <w:rFonts w:ascii="Times New Roman" w:hAnsi="Times New Roman" w:cs="Times New Roman"/>
          <w:b/>
          <w:sz w:val="24"/>
          <w:szCs w:val="24"/>
        </w:rPr>
      </w:pPr>
    </w:p>
    <w:p w14:paraId="5F7AA13A" w14:textId="77777777" w:rsidR="00D14A18" w:rsidRDefault="00D14A18" w:rsidP="00D14A18">
      <w:pPr>
        <w:rPr>
          <w:rFonts w:ascii="Times New Roman" w:hAnsi="Times New Roman" w:cs="Times New Roman"/>
          <w:b/>
          <w:sz w:val="22"/>
          <w:szCs w:val="22"/>
        </w:rPr>
      </w:pPr>
    </w:p>
    <w:p w14:paraId="7E880DAD" w14:textId="77777777" w:rsidR="00D14A18" w:rsidRDefault="00D14A18" w:rsidP="00D14A18">
      <w:pPr>
        <w:rPr>
          <w:rFonts w:ascii="Times New Roman" w:hAnsi="Times New Roman" w:cs="Times New Roman"/>
          <w:b/>
          <w:sz w:val="22"/>
          <w:szCs w:val="22"/>
        </w:rPr>
      </w:pPr>
    </w:p>
    <w:p w14:paraId="44819D5C" w14:textId="77777777" w:rsidR="00D14A18" w:rsidRDefault="00D14A18" w:rsidP="00D14A18">
      <w:pPr>
        <w:rPr>
          <w:rFonts w:ascii="Times New Roman" w:hAnsi="Times New Roman" w:cs="Times New Roman"/>
          <w:b/>
          <w:sz w:val="22"/>
          <w:szCs w:val="22"/>
        </w:rPr>
      </w:pPr>
    </w:p>
    <w:p w14:paraId="3B7EA179" w14:textId="77777777" w:rsidR="00D14A18" w:rsidRDefault="00D14A18" w:rsidP="00D14A18">
      <w:pPr>
        <w:rPr>
          <w:rFonts w:ascii="Times New Roman" w:hAnsi="Times New Roman" w:cs="Times New Roman"/>
          <w:b/>
          <w:sz w:val="22"/>
          <w:szCs w:val="22"/>
        </w:rPr>
      </w:pPr>
    </w:p>
    <w:p w14:paraId="04056AA3" w14:textId="77777777" w:rsidR="00D14A18" w:rsidRDefault="00D14A18" w:rsidP="00D14A18">
      <w:pPr>
        <w:rPr>
          <w:rFonts w:ascii="Times New Roman" w:hAnsi="Times New Roman" w:cs="Times New Roman"/>
          <w:b/>
          <w:sz w:val="22"/>
          <w:szCs w:val="22"/>
        </w:rPr>
      </w:pPr>
    </w:p>
    <w:p w14:paraId="5ED8B439" w14:textId="77777777" w:rsidR="00D14A18" w:rsidRDefault="00D14A18" w:rsidP="00D14A18">
      <w:pPr>
        <w:rPr>
          <w:rFonts w:ascii="Times New Roman" w:hAnsi="Times New Roman" w:cs="Times New Roman"/>
          <w:b/>
          <w:sz w:val="22"/>
          <w:szCs w:val="22"/>
        </w:rPr>
      </w:pPr>
    </w:p>
    <w:p w14:paraId="3A86D3B6" w14:textId="77777777" w:rsidR="00D14A18" w:rsidRDefault="00D14A18" w:rsidP="00D14A18">
      <w:pPr>
        <w:rPr>
          <w:rFonts w:ascii="Times New Roman" w:hAnsi="Times New Roman" w:cs="Times New Roman"/>
          <w:b/>
          <w:sz w:val="22"/>
          <w:szCs w:val="22"/>
        </w:rPr>
      </w:pPr>
    </w:p>
    <w:p w14:paraId="6174C143" w14:textId="77777777" w:rsidR="00D14A18" w:rsidRDefault="00D14A18" w:rsidP="00D14A18">
      <w:pPr>
        <w:rPr>
          <w:rFonts w:ascii="Times New Roman" w:hAnsi="Times New Roman" w:cs="Times New Roman"/>
          <w:b/>
          <w:sz w:val="22"/>
          <w:szCs w:val="22"/>
        </w:rPr>
      </w:pPr>
    </w:p>
    <w:p w14:paraId="57270081" w14:textId="77777777" w:rsidR="00D14A18" w:rsidRDefault="00D14A18" w:rsidP="00D14A18">
      <w:pPr>
        <w:rPr>
          <w:rFonts w:ascii="Times New Roman" w:hAnsi="Times New Roman" w:cs="Times New Roman"/>
          <w:b/>
          <w:sz w:val="22"/>
          <w:szCs w:val="22"/>
        </w:rPr>
      </w:pPr>
    </w:p>
    <w:p w14:paraId="0E4B348D" w14:textId="77777777" w:rsidR="00D14A18" w:rsidRDefault="00D14A18" w:rsidP="00D14A18">
      <w:pPr>
        <w:rPr>
          <w:rFonts w:ascii="Times New Roman" w:hAnsi="Times New Roman" w:cs="Times New Roman"/>
          <w:b/>
          <w:sz w:val="22"/>
          <w:szCs w:val="22"/>
        </w:rPr>
      </w:pPr>
    </w:p>
    <w:p w14:paraId="762BB6F9" w14:textId="77777777" w:rsidR="00D14A18" w:rsidRDefault="00D14A18" w:rsidP="00D14A18">
      <w:pPr>
        <w:rPr>
          <w:rFonts w:ascii="Times New Roman" w:hAnsi="Times New Roman" w:cs="Times New Roman"/>
          <w:b/>
          <w:sz w:val="22"/>
          <w:szCs w:val="22"/>
        </w:rPr>
      </w:pPr>
    </w:p>
    <w:p w14:paraId="06175FAD" w14:textId="77777777" w:rsidR="00D14A18" w:rsidRPr="00811FCA" w:rsidRDefault="00D14A18" w:rsidP="00D14A18">
      <w:pPr>
        <w:rPr>
          <w:rFonts w:ascii="Times New Roman" w:hAnsi="Times New Roman" w:cs="Times New Roman"/>
          <w:b/>
          <w:sz w:val="24"/>
          <w:szCs w:val="24"/>
        </w:rPr>
      </w:pPr>
      <w:r w:rsidRPr="00811FCA">
        <w:rPr>
          <w:rFonts w:ascii="Times New Roman" w:hAnsi="Times New Roman" w:cs="Times New Roman"/>
          <w:b/>
          <w:sz w:val="24"/>
          <w:szCs w:val="24"/>
        </w:rPr>
        <w:lastRenderedPageBreak/>
        <w:t>RASHODI  I IZDACI PRORAČUNA PLANIRANI U PRORAČUNU ZA 2024. GODINU</w:t>
      </w:r>
    </w:p>
    <w:p w14:paraId="49BE3502" w14:textId="77777777" w:rsidR="00D14A18" w:rsidRPr="00DE64EF" w:rsidRDefault="00D14A18" w:rsidP="00D14A18">
      <w:pPr>
        <w:jc w:val="both"/>
        <w:rPr>
          <w:rFonts w:ascii="Times New Roman" w:hAnsi="Times New Roman" w:cs="Times New Roman"/>
          <w:sz w:val="24"/>
          <w:szCs w:val="24"/>
        </w:rPr>
      </w:pPr>
      <w:r w:rsidRPr="00DE64EF">
        <w:rPr>
          <w:rFonts w:ascii="Times New Roman" w:hAnsi="Times New Roman" w:cs="Times New Roman"/>
          <w:sz w:val="24"/>
          <w:szCs w:val="24"/>
        </w:rPr>
        <w:t xml:space="preserve">Rashodi i izdaci u Proračunu Grada Varaždina obuhvaćaju rashode za financiranje planiranih aktivnosti i projekta gradskih upravnih tijela i proračunskih  korisnika u visini utvrđenoj u proračunu. </w:t>
      </w:r>
    </w:p>
    <w:p w14:paraId="21045A4E" w14:textId="77777777" w:rsidR="00D14A18" w:rsidRPr="00DE64EF" w:rsidRDefault="00D14A18" w:rsidP="00D14A18">
      <w:pPr>
        <w:jc w:val="both"/>
        <w:rPr>
          <w:rFonts w:ascii="Times New Roman" w:hAnsi="Times New Roman" w:cs="Times New Roman"/>
          <w:sz w:val="24"/>
          <w:szCs w:val="24"/>
        </w:rPr>
      </w:pPr>
      <w:r w:rsidRPr="00DE64EF">
        <w:rPr>
          <w:rFonts w:ascii="Times New Roman" w:hAnsi="Times New Roman" w:cs="Times New Roman"/>
          <w:sz w:val="24"/>
          <w:szCs w:val="24"/>
        </w:rPr>
        <w:t xml:space="preserve">U  2024. godinu rashodi i izdaci su planirani u visini  od 112.515.644,19 EUR, a čine ih rashodi poslovanja planirani u iznosu od 65.174.833,00 EUR, rashodi za nabavu nefinancijske imovine (kapitalni rashodi) 46.488.306,19  EUR te izdaci za financijsku imovinu i otplate zajmova u iznosu od 852.505,00 EUR. </w:t>
      </w:r>
    </w:p>
    <w:p w14:paraId="3F092E3D" w14:textId="77777777" w:rsidR="00D14A18" w:rsidRDefault="00D14A18" w:rsidP="00D14A18"/>
    <w:p w14:paraId="5E3FB413" w14:textId="77777777" w:rsidR="00D14A18" w:rsidRPr="00D358D5" w:rsidRDefault="00D14A18" w:rsidP="00D14A18">
      <w:pPr>
        <w:pStyle w:val="Opisslike"/>
        <w:jc w:val="center"/>
        <w:rPr>
          <w:rFonts w:ascii="Times New Roman" w:hAnsi="Times New Roman" w:cs="Times New Roman"/>
          <w:b w:val="0"/>
          <w:iCs/>
          <w:caps/>
          <w:smallCaps w:val="0"/>
          <w:color w:val="auto"/>
          <w:sz w:val="24"/>
          <w:szCs w:val="24"/>
        </w:rPr>
      </w:pPr>
      <w:r>
        <w:rPr>
          <w:rFonts w:ascii="Times New Roman" w:hAnsi="Times New Roman" w:cs="Times New Roman"/>
          <w:b w:val="0"/>
          <w:iCs/>
          <w:color w:val="auto"/>
          <w:sz w:val="24"/>
          <w:szCs w:val="24"/>
        </w:rPr>
        <w:t>GRAFIKON</w:t>
      </w:r>
      <w:r w:rsidRPr="00D358D5">
        <w:rPr>
          <w:rFonts w:ascii="Times New Roman" w:hAnsi="Times New Roman" w:cs="Times New Roman"/>
          <w:b w:val="0"/>
          <w:iCs/>
          <w:color w:val="auto"/>
          <w:sz w:val="24"/>
          <w:szCs w:val="24"/>
        </w:rPr>
        <w:t xml:space="preserve"> 4: </w:t>
      </w:r>
      <w:bookmarkStart w:id="0" w:name="_Hlk136521864"/>
      <w:r w:rsidRPr="00D358D5">
        <w:rPr>
          <w:rFonts w:ascii="Times New Roman" w:hAnsi="Times New Roman" w:cs="Times New Roman"/>
          <w:b w:val="0"/>
          <w:iCs/>
          <w:caps/>
          <w:smallCaps w:val="0"/>
          <w:color w:val="auto"/>
          <w:sz w:val="24"/>
          <w:szCs w:val="24"/>
        </w:rPr>
        <w:t>Rashodi i izdaci planirani u proračunu Grada Varaždina za  2024.godinu</w:t>
      </w:r>
      <w:bookmarkEnd w:id="0"/>
      <w:r w:rsidRPr="00D358D5">
        <w:rPr>
          <w:rFonts w:ascii="Times New Roman" w:hAnsi="Times New Roman" w:cs="Times New Roman"/>
          <w:b w:val="0"/>
          <w:iCs/>
          <w:caps/>
          <w:smallCaps w:val="0"/>
          <w:color w:val="auto"/>
          <w:sz w:val="24"/>
          <w:szCs w:val="24"/>
        </w:rPr>
        <w:t xml:space="preserve"> I PROJEKCIJAMA ZA  2025. I 2026.GODINU</w:t>
      </w:r>
    </w:p>
    <w:p w14:paraId="4CEC158B" w14:textId="77777777" w:rsidR="00D14A18" w:rsidRDefault="00D14A18" w:rsidP="00D14A18">
      <w:pPr>
        <w:rPr>
          <w:noProof/>
          <w:lang w:eastAsia="hr-HR"/>
        </w:rPr>
      </w:pPr>
      <w:r>
        <w:rPr>
          <w:noProof/>
        </w:rPr>
        <w:drawing>
          <wp:inline distT="0" distB="0" distL="0" distR="0" wp14:anchorId="08967D73" wp14:editId="10574E24">
            <wp:extent cx="6202680" cy="4328160"/>
            <wp:effectExtent l="0" t="0" r="7620" b="15240"/>
            <wp:docPr id="2009269731" name="Grafikon 1">
              <a:extLst xmlns:a="http://schemas.openxmlformats.org/drawingml/2006/main">
                <a:ext uri="{FF2B5EF4-FFF2-40B4-BE49-F238E27FC236}">
                  <a16:creationId xmlns:a16="http://schemas.microsoft.com/office/drawing/2014/main" id="{0DCF68AE-D844-0A21-3ED8-24BE7B7A54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034AC4" w14:textId="77777777" w:rsidR="00D14A18" w:rsidRDefault="00D14A18" w:rsidP="00D14A18">
      <w:pPr>
        <w:ind w:firstLine="709"/>
        <w:jc w:val="both"/>
      </w:pPr>
    </w:p>
    <w:p w14:paraId="51580FCD" w14:textId="77777777" w:rsidR="00D14A18" w:rsidRPr="00984788" w:rsidRDefault="00D14A18" w:rsidP="00D14A18">
      <w:pPr>
        <w:ind w:firstLine="709"/>
        <w:jc w:val="both"/>
      </w:pPr>
      <w:r w:rsidRPr="00D358D5">
        <w:rPr>
          <w:rFonts w:ascii="Times New Roman" w:hAnsi="Times New Roman" w:cs="Times New Roman"/>
          <w:sz w:val="24"/>
          <w:szCs w:val="24"/>
        </w:rPr>
        <w:t xml:space="preserve">Rashodi poslovanja za 2024. godinu obuhvaćaju  rashode za djelatnike gradske uprave i 18 proračunskih korisnika, a planirani su u iznosu od 112.515.644,19 EUR. Čine ih rashodi za zaposlene (plaće) koji su planirani u iznosu od 27.039.905,00 EUR,  materijalni rashodi planirani u iznosu od 25.621.224,00 EUR, financijski rashodi 342.303,00 EUR, subvencije u iznosu od 1.161.600,00 EUR, pomoći u iznosu od 108.630,00 EUR, naknade građanima i kućanstvima u iznosu od 2.695.043,00 EUR i ostali rashodi (donacije, kapitalne pomoći) u iznosu od 8.206.128,00 EUR. Rashodi za nabavu </w:t>
      </w:r>
      <w:proofErr w:type="spellStart"/>
      <w:r w:rsidRPr="00D358D5">
        <w:rPr>
          <w:rFonts w:ascii="Times New Roman" w:hAnsi="Times New Roman" w:cs="Times New Roman"/>
          <w:sz w:val="24"/>
          <w:szCs w:val="24"/>
        </w:rPr>
        <w:t>neproizvedene</w:t>
      </w:r>
      <w:proofErr w:type="spellEnd"/>
      <w:r w:rsidRPr="00D358D5">
        <w:rPr>
          <w:rFonts w:ascii="Times New Roman" w:hAnsi="Times New Roman" w:cs="Times New Roman"/>
          <w:sz w:val="24"/>
          <w:szCs w:val="24"/>
        </w:rPr>
        <w:t xml:space="preserve"> dugotrajne imovine planiranju se u iznosu od 725.490,00 EUR,  rashodi za nabavu proizvedene dugotrajne imovine </w:t>
      </w:r>
      <w:r w:rsidRPr="00D358D5">
        <w:rPr>
          <w:rFonts w:ascii="Times New Roman" w:hAnsi="Times New Roman" w:cs="Times New Roman"/>
          <w:sz w:val="24"/>
          <w:szCs w:val="24"/>
        </w:rPr>
        <w:lastRenderedPageBreak/>
        <w:t>42.967.097,19 EUR,  rashodi za dodatna ulaganja na nefinancijskoj imovini 2.795.719,00  EUR,  izdaci za dionice i udjele u glavnici planirani su u iznosu od 130.000,00 EUR, a izdaci za otplatu glavnice primljenih zajmova u iznosu od 722.505,00 EUR (otplate gradskih kredita i povrat APN-u).</w:t>
      </w:r>
      <w:r w:rsidRPr="00984788">
        <w:t xml:space="preserve"> </w:t>
      </w:r>
    </w:p>
    <w:p w14:paraId="3A631A11" w14:textId="77777777" w:rsidR="00D14A18" w:rsidRDefault="00D14A18" w:rsidP="00D14A18">
      <w:pPr>
        <w:pStyle w:val="Opisslike"/>
        <w:jc w:val="center"/>
        <w:rPr>
          <w:rFonts w:ascii="Times New Roman" w:hAnsi="Times New Roman" w:cs="Times New Roman"/>
          <w:b w:val="0"/>
          <w:iCs/>
          <w:color w:val="auto"/>
          <w:sz w:val="24"/>
          <w:szCs w:val="24"/>
        </w:rPr>
      </w:pPr>
    </w:p>
    <w:p w14:paraId="06EBDBEA" w14:textId="77777777" w:rsidR="00D14A18" w:rsidRPr="00D358D5" w:rsidRDefault="00D14A18" w:rsidP="00D14A18">
      <w:pPr>
        <w:pStyle w:val="Opisslike"/>
        <w:jc w:val="center"/>
        <w:rPr>
          <w:rFonts w:ascii="Times New Roman" w:hAnsi="Times New Roman" w:cs="Times New Roman"/>
          <w:b w:val="0"/>
          <w:iCs/>
          <w:color w:val="auto"/>
          <w:sz w:val="24"/>
          <w:szCs w:val="24"/>
        </w:rPr>
      </w:pPr>
      <w:r w:rsidRPr="00D358D5">
        <w:rPr>
          <w:rFonts w:ascii="Times New Roman" w:hAnsi="Times New Roman" w:cs="Times New Roman"/>
          <w:b w:val="0"/>
          <w:iCs/>
          <w:color w:val="auto"/>
          <w:sz w:val="24"/>
          <w:szCs w:val="24"/>
        </w:rPr>
        <w:t>GRAFIKON 5: STRUKTURA RASHODA I IZDATAKA U  2024. GODINI</w:t>
      </w:r>
    </w:p>
    <w:p w14:paraId="21605C67" w14:textId="77777777" w:rsidR="00D14A18" w:rsidRPr="00B77FA8" w:rsidRDefault="00D14A18" w:rsidP="00D14A18"/>
    <w:p w14:paraId="08C59E55" w14:textId="77777777" w:rsidR="00D14A18" w:rsidRPr="002867F2" w:rsidRDefault="00D14A18" w:rsidP="00D14A18">
      <w:pPr>
        <w:pStyle w:val="Opisslike"/>
        <w:jc w:val="center"/>
        <w:rPr>
          <w:rStyle w:val="Naslov2Char"/>
          <w:noProof/>
          <w:lang w:eastAsia="hr-HR"/>
        </w:rPr>
      </w:pPr>
      <w:r>
        <w:rPr>
          <w:noProof/>
        </w:rPr>
        <w:drawing>
          <wp:inline distT="0" distB="0" distL="0" distR="0" wp14:anchorId="005D78C0" wp14:editId="1CEDFDAC">
            <wp:extent cx="5759450" cy="5844540"/>
            <wp:effectExtent l="0" t="0" r="50800" b="3810"/>
            <wp:docPr id="546899760" name="Grafikon 546899760">
              <a:extLst xmlns:a="http://schemas.openxmlformats.org/drawingml/2006/main">
                <a:ext uri="{FF2B5EF4-FFF2-40B4-BE49-F238E27FC236}">
                  <a16:creationId xmlns:a16="http://schemas.microsoft.com/office/drawing/2014/main" id="{4299BF70-26DF-DC00-E9CA-CD3C0AF235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57DE39" w14:textId="77777777" w:rsidR="00D14A18" w:rsidRDefault="00D14A18" w:rsidP="00D14A18">
      <w:pPr>
        <w:rPr>
          <w:rStyle w:val="Naslov2Char"/>
        </w:rPr>
      </w:pPr>
    </w:p>
    <w:p w14:paraId="65F50526" w14:textId="77777777" w:rsidR="00D14A18" w:rsidRDefault="00D14A18" w:rsidP="00D14A18">
      <w:pPr>
        <w:rPr>
          <w:rStyle w:val="Naslov2Char"/>
        </w:rPr>
      </w:pPr>
    </w:p>
    <w:p w14:paraId="03D377D9" w14:textId="77777777" w:rsidR="00D14A18" w:rsidRDefault="00D14A18" w:rsidP="00D14A18">
      <w:pPr>
        <w:rPr>
          <w:rStyle w:val="Naslov2Char"/>
        </w:rPr>
      </w:pPr>
    </w:p>
    <w:p w14:paraId="62A968AB" w14:textId="77777777" w:rsidR="00D14A18" w:rsidRDefault="00D14A18" w:rsidP="00D14A18">
      <w:pPr>
        <w:rPr>
          <w:rStyle w:val="Naslov2Char"/>
        </w:rPr>
      </w:pPr>
    </w:p>
    <w:p w14:paraId="4EE3AC6D" w14:textId="77777777" w:rsidR="00D14A18" w:rsidRPr="00C61EBA" w:rsidRDefault="00D14A18" w:rsidP="00D14A18">
      <w:pPr>
        <w:jc w:val="center"/>
        <w:rPr>
          <w:rStyle w:val="Naslov2Char"/>
          <w:rFonts w:ascii="Times New Roman" w:hAnsi="Times New Roman" w:cs="Times New Roman"/>
          <w:b/>
          <w:bCs/>
          <w:sz w:val="24"/>
          <w:szCs w:val="24"/>
        </w:rPr>
      </w:pPr>
      <w:r w:rsidRPr="00C61EBA">
        <w:rPr>
          <w:rStyle w:val="Naslov2Char"/>
          <w:rFonts w:ascii="Times New Roman" w:hAnsi="Times New Roman" w:cs="Times New Roman"/>
          <w:b/>
          <w:bCs/>
          <w:sz w:val="24"/>
          <w:szCs w:val="24"/>
        </w:rPr>
        <w:lastRenderedPageBreak/>
        <w:t xml:space="preserve">ZNAČAJNIJI PROGRAMI, PROJEKTI I AKTIVNOSTI </w:t>
      </w:r>
    </w:p>
    <w:p w14:paraId="0F5AB75B" w14:textId="77777777" w:rsidR="00D14A18" w:rsidRPr="00C61EBA" w:rsidRDefault="00D14A18" w:rsidP="00D14A18">
      <w:pPr>
        <w:jc w:val="center"/>
        <w:rPr>
          <w:rFonts w:ascii="Times New Roman" w:hAnsi="Times New Roman" w:cs="Times New Roman"/>
          <w:b/>
          <w:bCs/>
          <w:noProof/>
          <w:sz w:val="24"/>
          <w:szCs w:val="24"/>
          <w:lang w:eastAsia="hr-HR"/>
        </w:rPr>
      </w:pPr>
      <w:r w:rsidRPr="00C61EBA">
        <w:rPr>
          <w:rStyle w:val="Naslov2Char"/>
          <w:rFonts w:ascii="Times New Roman" w:hAnsi="Times New Roman" w:cs="Times New Roman"/>
          <w:b/>
          <w:bCs/>
          <w:sz w:val="24"/>
          <w:szCs w:val="24"/>
        </w:rPr>
        <w:t>KOJI SE FINANCIRAJU  U PRORAČUNU ZA 2024. GODINU</w:t>
      </w:r>
    </w:p>
    <w:p w14:paraId="2638C4CC" w14:textId="77777777" w:rsidR="00D14A18" w:rsidRDefault="00D14A18" w:rsidP="00D14A18">
      <w:pPr>
        <w:pStyle w:val="Opisslike"/>
        <w:rPr>
          <w:rFonts w:ascii="Times New Roman" w:hAnsi="Times New Roman" w:cs="Times New Roman"/>
          <w:b w:val="0"/>
          <w:iCs/>
          <w:color w:val="auto"/>
          <w:sz w:val="24"/>
          <w:szCs w:val="24"/>
        </w:rPr>
      </w:pPr>
    </w:p>
    <w:p w14:paraId="6AE29C6D" w14:textId="77777777" w:rsidR="00D14A18" w:rsidRDefault="00D14A18" w:rsidP="00D14A18">
      <w:pPr>
        <w:pStyle w:val="Opisslike"/>
        <w:rPr>
          <w:rFonts w:ascii="Times New Roman" w:hAnsi="Times New Roman" w:cs="Times New Roman"/>
          <w:b w:val="0"/>
          <w:iCs/>
          <w:color w:val="auto"/>
          <w:sz w:val="24"/>
          <w:szCs w:val="24"/>
        </w:rPr>
      </w:pPr>
    </w:p>
    <w:p w14:paraId="1297E508" w14:textId="77777777" w:rsidR="00D14A18" w:rsidRDefault="00D14A18" w:rsidP="00D14A18">
      <w:pPr>
        <w:pStyle w:val="Opisslike"/>
        <w:rPr>
          <w:rFonts w:ascii="Times New Roman" w:hAnsi="Times New Roman" w:cs="Times New Roman"/>
          <w:b w:val="0"/>
          <w:iCs/>
          <w:color w:val="auto"/>
          <w:sz w:val="24"/>
          <w:szCs w:val="24"/>
        </w:rPr>
      </w:pPr>
      <w:r>
        <w:rPr>
          <w:rFonts w:ascii="Times New Roman" w:hAnsi="Times New Roman" w:cs="Times New Roman"/>
          <w:b w:val="0"/>
          <w:iCs/>
          <w:color w:val="auto"/>
          <w:sz w:val="24"/>
          <w:szCs w:val="24"/>
        </w:rPr>
        <w:t>TABLICA 1</w:t>
      </w:r>
      <w:r w:rsidRPr="00D358D5">
        <w:rPr>
          <w:rFonts w:ascii="Times New Roman" w:hAnsi="Times New Roman" w:cs="Times New Roman"/>
          <w:b w:val="0"/>
          <w:iCs/>
          <w:color w:val="auto"/>
          <w:sz w:val="24"/>
          <w:szCs w:val="24"/>
        </w:rPr>
        <w:t xml:space="preserve">: ZNAČAJNIJI PROJEKTI I AKTIVNOSTI U PRORAČUNU </w:t>
      </w:r>
      <w:r>
        <w:rPr>
          <w:rFonts w:ascii="Times New Roman" w:hAnsi="Times New Roman" w:cs="Times New Roman"/>
          <w:b w:val="0"/>
          <w:iCs/>
          <w:color w:val="auto"/>
          <w:sz w:val="24"/>
          <w:szCs w:val="24"/>
        </w:rPr>
        <w:t xml:space="preserve"> </w:t>
      </w:r>
      <w:r w:rsidRPr="00D358D5">
        <w:rPr>
          <w:rFonts w:ascii="Times New Roman" w:hAnsi="Times New Roman" w:cs="Times New Roman"/>
          <w:b w:val="0"/>
          <w:iCs/>
          <w:color w:val="auto"/>
          <w:sz w:val="24"/>
          <w:szCs w:val="24"/>
        </w:rPr>
        <w:t>ZA 2024. GODINU</w:t>
      </w:r>
    </w:p>
    <w:p w14:paraId="683A18E1" w14:textId="77777777" w:rsidR="00D14A18" w:rsidRPr="00886022" w:rsidRDefault="00D14A18" w:rsidP="00D14A18">
      <w:pPr>
        <w:jc w:val="center"/>
      </w:pPr>
    </w:p>
    <w:tbl>
      <w:tblPr>
        <w:tblStyle w:val="Srednjareetka1-Isticanje5"/>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1927"/>
      </w:tblGrid>
      <w:tr w:rsidR="00D14A18" w:rsidRPr="00886022" w14:paraId="61508491" w14:textId="77777777" w:rsidTr="00886022">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7D959B1" w14:textId="77777777" w:rsidR="00D14A18" w:rsidRPr="00886022" w:rsidRDefault="00D14A18" w:rsidP="00052228">
            <w:pPr>
              <w:spacing w:after="0" w:line="240" w:lineRule="auto"/>
              <w:jc w:val="center"/>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Naziv projekta/aktivnosti</w:t>
            </w:r>
          </w:p>
        </w:tc>
        <w:tc>
          <w:tcPr>
            <w:tcW w:w="1927" w:type="dxa"/>
            <w:shd w:val="clear" w:color="auto" w:fill="auto"/>
            <w:hideMark/>
          </w:tcPr>
          <w:p w14:paraId="085288A3" w14:textId="77777777" w:rsidR="00D14A18" w:rsidRPr="00886022" w:rsidRDefault="00D14A18" w:rsidP="0005222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Plan 2024.</w:t>
            </w:r>
          </w:p>
        </w:tc>
      </w:tr>
      <w:tr w:rsidR="00D14A18" w:rsidRPr="00886022" w14:paraId="6807F3E7"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68FAA715"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310084 Sanacija zatvorenog odlagališta neopasnog otpada na lokaciji Gospodarska zona Brezje</w:t>
            </w:r>
          </w:p>
        </w:tc>
        <w:tc>
          <w:tcPr>
            <w:tcW w:w="1927" w:type="dxa"/>
            <w:shd w:val="clear" w:color="auto" w:fill="auto"/>
            <w:hideMark/>
          </w:tcPr>
          <w:p w14:paraId="72E8CCDB"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19.355.478,47</w:t>
            </w:r>
          </w:p>
        </w:tc>
      </w:tr>
      <w:tr w:rsidR="00D14A18" w:rsidRPr="00886022" w14:paraId="288652EE"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424D8FC"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310085 Projekt modernizacije javne rasvjete</w:t>
            </w:r>
          </w:p>
        </w:tc>
        <w:tc>
          <w:tcPr>
            <w:tcW w:w="1927" w:type="dxa"/>
            <w:shd w:val="clear" w:color="auto" w:fill="auto"/>
            <w:hideMark/>
          </w:tcPr>
          <w:p w14:paraId="64A4FCE2"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5.000.000,00</w:t>
            </w:r>
          </w:p>
        </w:tc>
      </w:tr>
      <w:tr w:rsidR="00D14A18" w:rsidRPr="00886022" w14:paraId="65227FDC"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44282C5C"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120009 Izgradnja stanova- JUGS</w:t>
            </w:r>
          </w:p>
        </w:tc>
        <w:tc>
          <w:tcPr>
            <w:tcW w:w="1927" w:type="dxa"/>
            <w:shd w:val="clear" w:color="auto" w:fill="auto"/>
            <w:hideMark/>
          </w:tcPr>
          <w:p w14:paraId="543A8C3A"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4.100.000,00</w:t>
            </w:r>
          </w:p>
        </w:tc>
      </w:tr>
      <w:tr w:rsidR="00D14A18" w:rsidRPr="00886022" w14:paraId="388E99D3"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778FFF3F"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A: 300001 Uređenje i održavanje gradskih ulica i trgova</w:t>
            </w:r>
          </w:p>
        </w:tc>
        <w:tc>
          <w:tcPr>
            <w:tcW w:w="1927" w:type="dxa"/>
            <w:shd w:val="clear" w:color="auto" w:fill="auto"/>
            <w:hideMark/>
          </w:tcPr>
          <w:p w14:paraId="6A401C67"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3.212.500,00</w:t>
            </w:r>
          </w:p>
        </w:tc>
      </w:tr>
      <w:tr w:rsidR="00D14A18" w:rsidRPr="00886022" w14:paraId="436FF8D7"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51AFF789"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310001 Izgradnja novih cesta, ulica, trgova</w:t>
            </w:r>
          </w:p>
        </w:tc>
        <w:tc>
          <w:tcPr>
            <w:tcW w:w="1927" w:type="dxa"/>
            <w:shd w:val="clear" w:color="auto" w:fill="auto"/>
            <w:hideMark/>
          </w:tcPr>
          <w:p w14:paraId="66B83256"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3.200.150,00</w:t>
            </w:r>
          </w:p>
        </w:tc>
      </w:tr>
      <w:tr w:rsidR="00D14A18" w:rsidRPr="00886022" w14:paraId="13DA6712"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39AA23A7"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470002 Dvorana za tenis s pratećim sadržajima - Zagrebačka ulica 93a</w:t>
            </w:r>
          </w:p>
        </w:tc>
        <w:tc>
          <w:tcPr>
            <w:tcW w:w="1927" w:type="dxa"/>
            <w:shd w:val="clear" w:color="auto" w:fill="auto"/>
            <w:hideMark/>
          </w:tcPr>
          <w:p w14:paraId="4F268573"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2.476.550,00</w:t>
            </w:r>
          </w:p>
        </w:tc>
      </w:tr>
      <w:tr w:rsidR="00D14A18" w:rsidRPr="00886022" w14:paraId="69A08DE7"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3CB0CC4B"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 xml:space="preserve">KP: 350021 Izgradnja novog dječjeg vrtića u </w:t>
            </w:r>
            <w:proofErr w:type="spellStart"/>
            <w:r w:rsidRPr="00886022">
              <w:rPr>
                <w:rFonts w:ascii="Times New Roman" w:eastAsia="Times New Roman" w:hAnsi="Times New Roman" w:cs="Times New Roman"/>
                <w:b w:val="0"/>
                <w:bCs w:val="0"/>
                <w:sz w:val="24"/>
                <w:szCs w:val="24"/>
                <w:lang w:eastAsia="hr-HR"/>
              </w:rPr>
              <w:t>Hrašćici</w:t>
            </w:r>
            <w:proofErr w:type="spellEnd"/>
          </w:p>
        </w:tc>
        <w:tc>
          <w:tcPr>
            <w:tcW w:w="1927" w:type="dxa"/>
            <w:shd w:val="clear" w:color="auto" w:fill="auto"/>
            <w:hideMark/>
          </w:tcPr>
          <w:p w14:paraId="659A4045"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1.220.000,00</w:t>
            </w:r>
          </w:p>
        </w:tc>
      </w:tr>
      <w:tr w:rsidR="00D14A18" w:rsidRPr="00886022" w14:paraId="2A19EE9B"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4F70B3E7"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350010 Obnova Sinagoge</w:t>
            </w:r>
          </w:p>
        </w:tc>
        <w:tc>
          <w:tcPr>
            <w:tcW w:w="1927" w:type="dxa"/>
            <w:shd w:val="clear" w:color="auto" w:fill="auto"/>
            <w:hideMark/>
          </w:tcPr>
          <w:p w14:paraId="31B28EB8"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1.098.695,00</w:t>
            </w:r>
          </w:p>
        </w:tc>
      </w:tr>
      <w:tr w:rsidR="00D14A18" w:rsidRPr="00886022" w14:paraId="71210AAD"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3FE367E8"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310002 Izgradnja javne rasvjete</w:t>
            </w:r>
          </w:p>
        </w:tc>
        <w:tc>
          <w:tcPr>
            <w:tcW w:w="1927" w:type="dxa"/>
            <w:shd w:val="clear" w:color="auto" w:fill="auto"/>
            <w:hideMark/>
          </w:tcPr>
          <w:p w14:paraId="12160095"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984.750,00</w:t>
            </w:r>
          </w:p>
        </w:tc>
      </w:tr>
      <w:tr w:rsidR="00D14A18" w:rsidRPr="00886022" w14:paraId="69C031CF"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BA371AE"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350025 Izgradnja sportsko-rekreacijskog centra Beli kipi</w:t>
            </w:r>
          </w:p>
        </w:tc>
        <w:tc>
          <w:tcPr>
            <w:tcW w:w="1927" w:type="dxa"/>
            <w:shd w:val="clear" w:color="auto" w:fill="auto"/>
            <w:hideMark/>
          </w:tcPr>
          <w:p w14:paraId="684CEA2A"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794.894,00</w:t>
            </w:r>
          </w:p>
        </w:tc>
      </w:tr>
      <w:tr w:rsidR="00D14A18" w:rsidRPr="00886022" w14:paraId="42B55416"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0D43C944"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 xml:space="preserve">KP: 470001 Izgradnja natkrivene tribine nogometnog igrališta u </w:t>
            </w:r>
            <w:proofErr w:type="spellStart"/>
            <w:r w:rsidRPr="00886022">
              <w:rPr>
                <w:rFonts w:ascii="Times New Roman" w:eastAsia="Times New Roman" w:hAnsi="Times New Roman" w:cs="Times New Roman"/>
                <w:b w:val="0"/>
                <w:bCs w:val="0"/>
                <w:sz w:val="24"/>
                <w:szCs w:val="24"/>
                <w:lang w:eastAsia="hr-HR"/>
              </w:rPr>
              <w:t>Hrašćici</w:t>
            </w:r>
            <w:proofErr w:type="spellEnd"/>
          </w:p>
        </w:tc>
        <w:tc>
          <w:tcPr>
            <w:tcW w:w="1927" w:type="dxa"/>
            <w:shd w:val="clear" w:color="auto" w:fill="auto"/>
            <w:hideMark/>
          </w:tcPr>
          <w:p w14:paraId="7C8CDADD"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618.850,00</w:t>
            </w:r>
          </w:p>
        </w:tc>
      </w:tr>
      <w:tr w:rsidR="00D14A18" w:rsidRPr="00886022" w14:paraId="0A35E9AB"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416796F3"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A: 710004 Kazališne predstave</w:t>
            </w:r>
          </w:p>
        </w:tc>
        <w:tc>
          <w:tcPr>
            <w:tcW w:w="1927" w:type="dxa"/>
            <w:shd w:val="clear" w:color="auto" w:fill="auto"/>
            <w:hideMark/>
          </w:tcPr>
          <w:p w14:paraId="3E16C2A4"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570.500,00</w:t>
            </w:r>
          </w:p>
        </w:tc>
      </w:tr>
      <w:tr w:rsidR="00D14A18" w:rsidRPr="00886022" w14:paraId="4A28BEC6"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515201AA"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350024 Rekonstrukcija Varaždinske kuće</w:t>
            </w:r>
          </w:p>
        </w:tc>
        <w:tc>
          <w:tcPr>
            <w:tcW w:w="1927" w:type="dxa"/>
            <w:shd w:val="clear" w:color="auto" w:fill="auto"/>
            <w:hideMark/>
          </w:tcPr>
          <w:p w14:paraId="5216A79B"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549.845,72</w:t>
            </w:r>
          </w:p>
        </w:tc>
      </w:tr>
      <w:tr w:rsidR="00D14A18" w:rsidRPr="00886022" w14:paraId="62231654"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82B8720"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750028 Energetska obnova Starog grada</w:t>
            </w:r>
          </w:p>
        </w:tc>
        <w:tc>
          <w:tcPr>
            <w:tcW w:w="1927" w:type="dxa"/>
            <w:shd w:val="clear" w:color="auto" w:fill="auto"/>
            <w:hideMark/>
          </w:tcPr>
          <w:p w14:paraId="58EB9E41"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506.500,00</w:t>
            </w:r>
          </w:p>
        </w:tc>
      </w:tr>
      <w:tr w:rsidR="00D14A18" w:rsidRPr="00886022" w14:paraId="3472D243"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771C71E0"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 xml:space="preserve">KP: 470005 Rekonstrukcija i dogradnja klupskih prostorija NK </w:t>
            </w:r>
            <w:proofErr w:type="spellStart"/>
            <w:r w:rsidRPr="00886022">
              <w:rPr>
                <w:rFonts w:ascii="Times New Roman" w:eastAsia="Times New Roman" w:hAnsi="Times New Roman" w:cs="Times New Roman"/>
                <w:b w:val="0"/>
                <w:bCs w:val="0"/>
                <w:sz w:val="24"/>
                <w:szCs w:val="24"/>
                <w:lang w:eastAsia="hr-HR"/>
              </w:rPr>
              <w:t>Gojanec</w:t>
            </w:r>
            <w:proofErr w:type="spellEnd"/>
          </w:p>
        </w:tc>
        <w:tc>
          <w:tcPr>
            <w:tcW w:w="1927" w:type="dxa"/>
            <w:shd w:val="clear" w:color="auto" w:fill="auto"/>
            <w:hideMark/>
          </w:tcPr>
          <w:p w14:paraId="194984A8"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391.000,00</w:t>
            </w:r>
          </w:p>
        </w:tc>
      </w:tr>
      <w:tr w:rsidR="00D14A18" w:rsidRPr="00886022" w14:paraId="6EA58C0E"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33F914C7"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300014 Participativni proračun - male komunalne akcije</w:t>
            </w:r>
          </w:p>
        </w:tc>
        <w:tc>
          <w:tcPr>
            <w:tcW w:w="1927" w:type="dxa"/>
            <w:shd w:val="clear" w:color="auto" w:fill="auto"/>
            <w:hideMark/>
          </w:tcPr>
          <w:p w14:paraId="759EF839"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300.000,00</w:t>
            </w:r>
          </w:p>
        </w:tc>
      </w:tr>
      <w:tr w:rsidR="00D14A18" w:rsidRPr="00886022" w14:paraId="075E97F7"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5FFADDE9"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 xml:space="preserve">KP: 350035 Rekonstrukcija palače </w:t>
            </w:r>
            <w:proofErr w:type="spellStart"/>
            <w:r w:rsidRPr="00886022">
              <w:rPr>
                <w:rFonts w:ascii="Times New Roman" w:eastAsia="Times New Roman" w:hAnsi="Times New Roman" w:cs="Times New Roman"/>
                <w:b w:val="0"/>
                <w:bCs w:val="0"/>
                <w:sz w:val="24"/>
                <w:szCs w:val="24"/>
                <w:lang w:eastAsia="hr-HR"/>
              </w:rPr>
              <w:t>Sermage</w:t>
            </w:r>
            <w:proofErr w:type="spellEnd"/>
          </w:p>
        </w:tc>
        <w:tc>
          <w:tcPr>
            <w:tcW w:w="1927" w:type="dxa"/>
            <w:shd w:val="clear" w:color="auto" w:fill="auto"/>
            <w:hideMark/>
          </w:tcPr>
          <w:p w14:paraId="362011FB"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250.000,00</w:t>
            </w:r>
          </w:p>
        </w:tc>
      </w:tr>
      <w:tr w:rsidR="00D14A18" w:rsidRPr="00886022" w14:paraId="511EAF12"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52F880AC"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 xml:space="preserve">KP: 470010 Izgradnja </w:t>
            </w:r>
            <w:proofErr w:type="spellStart"/>
            <w:r w:rsidRPr="00886022">
              <w:rPr>
                <w:rFonts w:ascii="Times New Roman" w:eastAsia="Times New Roman" w:hAnsi="Times New Roman" w:cs="Times New Roman"/>
                <w:b w:val="0"/>
                <w:bCs w:val="0"/>
                <w:sz w:val="24"/>
                <w:szCs w:val="24"/>
                <w:lang w:eastAsia="hr-HR"/>
              </w:rPr>
              <w:t>baseball</w:t>
            </w:r>
            <w:proofErr w:type="spellEnd"/>
            <w:r w:rsidRPr="00886022">
              <w:rPr>
                <w:rFonts w:ascii="Times New Roman" w:eastAsia="Times New Roman" w:hAnsi="Times New Roman" w:cs="Times New Roman"/>
                <w:b w:val="0"/>
                <w:bCs w:val="0"/>
                <w:sz w:val="24"/>
                <w:szCs w:val="24"/>
                <w:lang w:eastAsia="hr-HR"/>
              </w:rPr>
              <w:t xml:space="preserve"> centra u Jalkovcu</w:t>
            </w:r>
          </w:p>
        </w:tc>
        <w:tc>
          <w:tcPr>
            <w:tcW w:w="1927" w:type="dxa"/>
            <w:shd w:val="clear" w:color="auto" w:fill="auto"/>
            <w:hideMark/>
          </w:tcPr>
          <w:p w14:paraId="226D2B31"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250.000,00</w:t>
            </w:r>
          </w:p>
        </w:tc>
      </w:tr>
      <w:tr w:rsidR="00D14A18" w:rsidRPr="00886022" w14:paraId="606713F6"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212F2F31"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 xml:space="preserve">KP: 340021 Postava </w:t>
            </w:r>
            <w:proofErr w:type="spellStart"/>
            <w:r w:rsidRPr="00886022">
              <w:rPr>
                <w:rFonts w:ascii="Times New Roman" w:eastAsia="Times New Roman" w:hAnsi="Times New Roman" w:cs="Times New Roman"/>
                <w:b w:val="0"/>
                <w:bCs w:val="0"/>
                <w:sz w:val="24"/>
                <w:szCs w:val="24"/>
                <w:lang w:eastAsia="hr-HR"/>
              </w:rPr>
              <w:t>polupodzemnih</w:t>
            </w:r>
            <w:proofErr w:type="spellEnd"/>
            <w:r w:rsidRPr="00886022">
              <w:rPr>
                <w:rFonts w:ascii="Times New Roman" w:eastAsia="Times New Roman" w:hAnsi="Times New Roman" w:cs="Times New Roman"/>
                <w:b w:val="0"/>
                <w:bCs w:val="0"/>
                <w:sz w:val="24"/>
                <w:szCs w:val="24"/>
                <w:lang w:eastAsia="hr-HR"/>
              </w:rPr>
              <w:t xml:space="preserve"> spremnika</w:t>
            </w:r>
          </w:p>
        </w:tc>
        <w:tc>
          <w:tcPr>
            <w:tcW w:w="1927" w:type="dxa"/>
            <w:shd w:val="clear" w:color="auto" w:fill="auto"/>
            <w:hideMark/>
          </w:tcPr>
          <w:p w14:paraId="2A3222A0"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234.000,00</w:t>
            </w:r>
          </w:p>
        </w:tc>
      </w:tr>
      <w:tr w:rsidR="00D14A18" w:rsidRPr="00886022" w14:paraId="523E6337"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6D75BB47"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340026 Projekt - "Varaždin pod krošnjama"</w:t>
            </w:r>
          </w:p>
        </w:tc>
        <w:tc>
          <w:tcPr>
            <w:tcW w:w="1927" w:type="dxa"/>
            <w:shd w:val="clear" w:color="auto" w:fill="auto"/>
            <w:hideMark/>
          </w:tcPr>
          <w:p w14:paraId="589E76BF"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228.920,00</w:t>
            </w:r>
          </w:p>
        </w:tc>
      </w:tr>
      <w:tr w:rsidR="00D14A18" w:rsidRPr="00886022" w14:paraId="520A602D"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3E71090D"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560011 Izgradnja solarnih elektrana na osnovnim školama</w:t>
            </w:r>
          </w:p>
        </w:tc>
        <w:tc>
          <w:tcPr>
            <w:tcW w:w="1927" w:type="dxa"/>
            <w:shd w:val="clear" w:color="auto" w:fill="auto"/>
            <w:hideMark/>
          </w:tcPr>
          <w:p w14:paraId="117509EC"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215.140,00</w:t>
            </w:r>
          </w:p>
        </w:tc>
      </w:tr>
      <w:tr w:rsidR="00D14A18" w:rsidRPr="00886022" w14:paraId="50E2C5C6"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73187616"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A: 370008 Uspostava integriranog i energetski učinkovitog javnog prometa</w:t>
            </w:r>
          </w:p>
        </w:tc>
        <w:tc>
          <w:tcPr>
            <w:tcW w:w="1927" w:type="dxa"/>
            <w:shd w:val="clear" w:color="auto" w:fill="auto"/>
            <w:hideMark/>
          </w:tcPr>
          <w:p w14:paraId="0C771EBC"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200.000,00</w:t>
            </w:r>
          </w:p>
        </w:tc>
      </w:tr>
      <w:tr w:rsidR="00D14A18" w:rsidRPr="00886022" w14:paraId="5F4FC877"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26CA0E9A"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310003 Izgradnja groblja</w:t>
            </w:r>
          </w:p>
        </w:tc>
        <w:tc>
          <w:tcPr>
            <w:tcW w:w="1927" w:type="dxa"/>
            <w:shd w:val="clear" w:color="auto" w:fill="auto"/>
            <w:hideMark/>
          </w:tcPr>
          <w:p w14:paraId="309F0356"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196.250,00</w:t>
            </w:r>
          </w:p>
        </w:tc>
      </w:tr>
      <w:tr w:rsidR="00D14A18" w:rsidRPr="00886022" w14:paraId="5A873895"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2CA6F59"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750001 Obnova zgrade HNK</w:t>
            </w:r>
          </w:p>
        </w:tc>
        <w:tc>
          <w:tcPr>
            <w:tcW w:w="1927" w:type="dxa"/>
            <w:shd w:val="clear" w:color="auto" w:fill="auto"/>
            <w:hideMark/>
          </w:tcPr>
          <w:p w14:paraId="7B1E754E"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187.000,00</w:t>
            </w:r>
          </w:p>
        </w:tc>
      </w:tr>
      <w:tr w:rsidR="00D14A18" w:rsidRPr="00886022" w14:paraId="2A8EE03F"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09280BA"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950002 Opremanje ICT sustava Grada Varaždina</w:t>
            </w:r>
          </w:p>
        </w:tc>
        <w:tc>
          <w:tcPr>
            <w:tcW w:w="1927" w:type="dxa"/>
            <w:shd w:val="clear" w:color="auto" w:fill="auto"/>
            <w:hideMark/>
          </w:tcPr>
          <w:p w14:paraId="5F6115D1"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177.100,00</w:t>
            </w:r>
          </w:p>
        </w:tc>
      </w:tr>
      <w:tr w:rsidR="00D14A18" w:rsidRPr="00886022" w14:paraId="09FDD027"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463DAB40"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TP: 550039 Udžbenici za učenike osnovnih škola</w:t>
            </w:r>
          </w:p>
        </w:tc>
        <w:tc>
          <w:tcPr>
            <w:tcW w:w="1927" w:type="dxa"/>
            <w:shd w:val="clear" w:color="auto" w:fill="auto"/>
            <w:hideMark/>
          </w:tcPr>
          <w:p w14:paraId="46DF9256"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163.900,00</w:t>
            </w:r>
          </w:p>
        </w:tc>
      </w:tr>
      <w:tr w:rsidR="00D14A18" w:rsidRPr="00886022" w14:paraId="6D0B6F8B"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692712A6"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TP: 200029 Poduzetnički fond</w:t>
            </w:r>
          </w:p>
        </w:tc>
        <w:tc>
          <w:tcPr>
            <w:tcW w:w="1927" w:type="dxa"/>
            <w:shd w:val="clear" w:color="auto" w:fill="auto"/>
            <w:hideMark/>
          </w:tcPr>
          <w:p w14:paraId="1B036A23"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150.000,00</w:t>
            </w:r>
          </w:p>
        </w:tc>
      </w:tr>
      <w:tr w:rsidR="00D14A18" w:rsidRPr="00886022" w14:paraId="2E145BFD"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6AC3157D"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850010 Izgradnja novog vatrogasnog centra</w:t>
            </w:r>
          </w:p>
        </w:tc>
        <w:tc>
          <w:tcPr>
            <w:tcW w:w="1927" w:type="dxa"/>
            <w:shd w:val="clear" w:color="auto" w:fill="auto"/>
            <w:hideMark/>
          </w:tcPr>
          <w:p w14:paraId="591C4F20"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150.000,00</w:t>
            </w:r>
          </w:p>
        </w:tc>
      </w:tr>
      <w:tr w:rsidR="00D14A18" w:rsidRPr="00886022" w14:paraId="3AC7A774" w14:textId="77777777" w:rsidTr="00886022">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5E19B8D3"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KP: 350031 Zamjena rashladnog sustava u Tehnološkom parku</w:t>
            </w:r>
          </w:p>
        </w:tc>
        <w:tc>
          <w:tcPr>
            <w:tcW w:w="1927" w:type="dxa"/>
            <w:shd w:val="clear" w:color="auto" w:fill="auto"/>
            <w:hideMark/>
          </w:tcPr>
          <w:p w14:paraId="1BD44E2C" w14:textId="77777777" w:rsidR="00D14A18" w:rsidRPr="00886022" w:rsidRDefault="00D14A18" w:rsidP="0005222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131.130,00</w:t>
            </w:r>
          </w:p>
        </w:tc>
      </w:tr>
      <w:tr w:rsidR="00D14A18" w:rsidRPr="00886022" w14:paraId="1652A321" w14:textId="77777777" w:rsidTr="00886022">
        <w:trPr>
          <w:trHeight w:val="264"/>
        </w:trPr>
        <w:tc>
          <w:tcPr>
            <w:cnfStyle w:val="001000000000" w:firstRow="0" w:lastRow="0" w:firstColumn="1" w:lastColumn="0" w:oddVBand="0" w:evenVBand="0" w:oddHBand="0" w:evenHBand="0" w:firstRowFirstColumn="0" w:firstRowLastColumn="0" w:lastRowFirstColumn="0" w:lastRowLastColumn="0"/>
            <w:tcW w:w="7335" w:type="dxa"/>
            <w:shd w:val="clear" w:color="auto" w:fill="auto"/>
            <w:hideMark/>
          </w:tcPr>
          <w:p w14:paraId="186FF332" w14:textId="77777777" w:rsidR="00D14A18" w:rsidRPr="00886022" w:rsidRDefault="00D14A18" w:rsidP="00052228">
            <w:pPr>
              <w:spacing w:after="0" w:line="240" w:lineRule="auto"/>
              <w:rPr>
                <w:rFonts w:ascii="Times New Roman" w:eastAsia="Times New Roman" w:hAnsi="Times New Roman" w:cs="Times New Roman"/>
                <w:b w:val="0"/>
                <w:bCs w:val="0"/>
                <w:sz w:val="24"/>
                <w:szCs w:val="24"/>
                <w:lang w:eastAsia="hr-HR"/>
              </w:rPr>
            </w:pPr>
            <w:r w:rsidRPr="00886022">
              <w:rPr>
                <w:rFonts w:ascii="Times New Roman" w:eastAsia="Times New Roman" w:hAnsi="Times New Roman" w:cs="Times New Roman"/>
                <w:b w:val="0"/>
                <w:bCs w:val="0"/>
                <w:sz w:val="24"/>
                <w:szCs w:val="24"/>
                <w:lang w:eastAsia="hr-HR"/>
              </w:rPr>
              <w:t>TP: 830021 Preoblikovanje nogometnog kluba Varaždin</w:t>
            </w:r>
          </w:p>
        </w:tc>
        <w:tc>
          <w:tcPr>
            <w:tcW w:w="1927" w:type="dxa"/>
            <w:shd w:val="clear" w:color="auto" w:fill="auto"/>
            <w:hideMark/>
          </w:tcPr>
          <w:p w14:paraId="19D187C7" w14:textId="77777777" w:rsidR="00D14A18" w:rsidRPr="00886022" w:rsidRDefault="00D14A18" w:rsidP="0005222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hr-HR"/>
              </w:rPr>
            </w:pPr>
            <w:r w:rsidRPr="00886022">
              <w:rPr>
                <w:rFonts w:ascii="Times New Roman" w:eastAsia="Times New Roman" w:hAnsi="Times New Roman" w:cs="Times New Roman"/>
                <w:sz w:val="24"/>
                <w:szCs w:val="24"/>
                <w:lang w:eastAsia="hr-HR"/>
              </w:rPr>
              <w:t>130.000,00</w:t>
            </w:r>
          </w:p>
        </w:tc>
      </w:tr>
    </w:tbl>
    <w:p w14:paraId="7B48E78D" w14:textId="77777777" w:rsidR="00D14A18" w:rsidRDefault="00D14A18" w:rsidP="00D14A18">
      <w:pPr>
        <w:rPr>
          <w:noProof/>
          <w:lang w:eastAsia="hr-HR"/>
        </w:rPr>
      </w:pPr>
    </w:p>
    <w:p w14:paraId="36E7FFC3" w14:textId="77777777" w:rsidR="00D14A18" w:rsidRDefault="00D14A18" w:rsidP="00D14A18">
      <w:pPr>
        <w:rPr>
          <w:rFonts w:ascii="Times New Roman" w:hAnsi="Times New Roman" w:cs="Times New Roman"/>
          <w:b/>
          <w:sz w:val="24"/>
          <w:szCs w:val="24"/>
        </w:rPr>
      </w:pPr>
    </w:p>
    <w:p w14:paraId="7D4BB946" w14:textId="77777777" w:rsidR="00D14A18" w:rsidRDefault="00D14A18" w:rsidP="00D14A18">
      <w:pPr>
        <w:rPr>
          <w:rFonts w:ascii="Times New Roman" w:hAnsi="Times New Roman" w:cs="Times New Roman"/>
          <w:b/>
          <w:sz w:val="24"/>
          <w:szCs w:val="24"/>
        </w:rPr>
      </w:pPr>
    </w:p>
    <w:p w14:paraId="5D0F9FAC" w14:textId="77777777" w:rsidR="00D14A18" w:rsidRDefault="00D14A18" w:rsidP="00D14A18">
      <w:pPr>
        <w:rPr>
          <w:rFonts w:ascii="Times New Roman" w:hAnsi="Times New Roman" w:cs="Times New Roman"/>
          <w:b/>
          <w:sz w:val="24"/>
          <w:szCs w:val="24"/>
        </w:rPr>
      </w:pPr>
    </w:p>
    <w:p w14:paraId="3B6D8365" w14:textId="77777777" w:rsidR="00D14A18" w:rsidRPr="00EB5F2C" w:rsidRDefault="00D14A18" w:rsidP="00D14A18">
      <w:pPr>
        <w:rPr>
          <w:rFonts w:ascii="Times New Roman" w:hAnsi="Times New Roman" w:cs="Times New Roman"/>
          <w:b/>
          <w:sz w:val="24"/>
          <w:szCs w:val="24"/>
        </w:rPr>
      </w:pPr>
      <w:r w:rsidRPr="00EB5F2C">
        <w:rPr>
          <w:rFonts w:ascii="Times New Roman" w:hAnsi="Times New Roman" w:cs="Times New Roman"/>
          <w:b/>
          <w:sz w:val="24"/>
          <w:szCs w:val="24"/>
        </w:rPr>
        <w:lastRenderedPageBreak/>
        <w:t xml:space="preserve">RASHODI I IZDACI PO ORGANIZACIJSKIM JEDINICAMA-UPRAVNIM </w:t>
      </w:r>
      <w:r>
        <w:rPr>
          <w:rFonts w:ascii="Times New Roman" w:hAnsi="Times New Roman" w:cs="Times New Roman"/>
          <w:b/>
          <w:sz w:val="24"/>
          <w:szCs w:val="24"/>
        </w:rPr>
        <w:t xml:space="preserve"> O</w:t>
      </w:r>
      <w:r w:rsidRPr="00EB5F2C">
        <w:rPr>
          <w:rFonts w:ascii="Times New Roman" w:hAnsi="Times New Roman" w:cs="Times New Roman"/>
          <w:b/>
          <w:sz w:val="24"/>
          <w:szCs w:val="24"/>
        </w:rPr>
        <w:t>DJELIMA</w:t>
      </w:r>
    </w:p>
    <w:p w14:paraId="73568178" w14:textId="77777777" w:rsidR="00D14A18" w:rsidRDefault="00D14A18" w:rsidP="00D14A18">
      <w:pPr>
        <w:rPr>
          <w:b/>
          <w:color w:val="7030A0"/>
        </w:rPr>
      </w:pPr>
    </w:p>
    <w:p w14:paraId="58B1D93F" w14:textId="77777777" w:rsidR="00D14A18" w:rsidRPr="00EB5F2C" w:rsidRDefault="00D14A18" w:rsidP="00D14A18">
      <w:pPr>
        <w:autoSpaceDE w:val="0"/>
        <w:autoSpaceDN w:val="0"/>
        <w:adjustRightInd w:val="0"/>
        <w:rPr>
          <w:rFonts w:ascii="Times New Roman" w:hAnsi="Times New Roman" w:cs="Times New Roman"/>
          <w:sz w:val="24"/>
          <w:szCs w:val="24"/>
        </w:rPr>
      </w:pPr>
      <w:r w:rsidRPr="00EB5F2C">
        <w:rPr>
          <w:rFonts w:ascii="Times New Roman" w:hAnsi="Times New Roman" w:cs="Times New Roman"/>
          <w:sz w:val="24"/>
          <w:szCs w:val="24"/>
        </w:rPr>
        <w:t xml:space="preserve">U Proračunu Grada Varaždina za 2024. godinu </w:t>
      </w:r>
      <w:r>
        <w:rPr>
          <w:rFonts w:ascii="Times New Roman" w:hAnsi="Times New Roman" w:cs="Times New Roman"/>
          <w:sz w:val="24"/>
          <w:szCs w:val="24"/>
        </w:rPr>
        <w:t xml:space="preserve">i projekcijama za 2025. i 2026. godinu </w:t>
      </w:r>
      <w:r w:rsidRPr="00EB5F2C">
        <w:rPr>
          <w:rFonts w:ascii="Times New Roman" w:hAnsi="Times New Roman" w:cs="Times New Roman"/>
          <w:sz w:val="24"/>
          <w:szCs w:val="24"/>
        </w:rPr>
        <w:t>rashodi i izdaci raspoređeni su po Upravnim odjelima ne sljedeći način:</w:t>
      </w:r>
    </w:p>
    <w:p w14:paraId="39E81B15" w14:textId="77777777" w:rsidR="00D14A18" w:rsidRPr="00886022" w:rsidRDefault="00D14A18" w:rsidP="00D14A18">
      <w:pPr>
        <w:pStyle w:val="Opisslike"/>
        <w:rPr>
          <w:rFonts w:ascii="Times New Roman" w:hAnsi="Times New Roman" w:cs="Times New Roman"/>
          <w:b w:val="0"/>
          <w:iCs/>
          <w:color w:val="auto"/>
          <w:sz w:val="24"/>
          <w:szCs w:val="24"/>
        </w:rPr>
      </w:pPr>
      <w:r>
        <w:rPr>
          <w:rFonts w:ascii="Times New Roman" w:hAnsi="Times New Roman" w:cs="Times New Roman"/>
          <w:b w:val="0"/>
          <w:iCs/>
          <w:color w:val="auto"/>
          <w:sz w:val="24"/>
          <w:szCs w:val="24"/>
        </w:rPr>
        <w:t>TABLICA 2: RASPORED RASHODA PO UPRAVNIM ODJELIMA/RAZDJELIMA</w:t>
      </w:r>
    </w:p>
    <w:p w14:paraId="1863BC43" w14:textId="77777777" w:rsidR="00D14A18" w:rsidRPr="00EB5F2C" w:rsidRDefault="00D14A18" w:rsidP="00D14A18">
      <w:pPr>
        <w:rPr>
          <w:rFonts w:ascii="Times New Roman" w:hAnsi="Times New Roman" w:cs="Times New Roman"/>
          <w:sz w:val="24"/>
          <w:szCs w:val="24"/>
        </w:rPr>
      </w:pPr>
    </w:p>
    <w:tbl>
      <w:tblPr>
        <w:tblStyle w:val="Srednjareetka1-Isticanje3"/>
        <w:tblW w:w="9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40" w:firstRow="0" w:lastRow="1" w:firstColumn="0" w:lastColumn="0" w:noHBand="1" w:noVBand="1"/>
      </w:tblPr>
      <w:tblGrid>
        <w:gridCol w:w="7694"/>
        <w:gridCol w:w="1716"/>
      </w:tblGrid>
      <w:tr w:rsidR="00D14A18" w:rsidRPr="00EB5F2C" w14:paraId="74E5E2AB" w14:textId="77777777" w:rsidTr="00886022">
        <w:trPr>
          <w:trHeight w:hRule="exact" w:val="289"/>
        </w:trPr>
        <w:tc>
          <w:tcPr>
            <w:tcW w:w="7694" w:type="dxa"/>
            <w:shd w:val="clear" w:color="auto" w:fill="auto"/>
            <w:noWrap/>
            <w:hideMark/>
          </w:tcPr>
          <w:p w14:paraId="453A22B1" w14:textId="77777777" w:rsidR="00D14A18" w:rsidRPr="00EB5F2C" w:rsidRDefault="00D14A18" w:rsidP="00052228">
            <w:pPr>
              <w:ind w:firstLineChars="100" w:firstLine="241"/>
              <w:jc w:val="center"/>
              <w:rPr>
                <w:rFonts w:ascii="Times New Roman" w:hAnsi="Times New Roman" w:cs="Times New Roman"/>
                <w:b/>
                <w:bCs/>
                <w:sz w:val="24"/>
                <w:szCs w:val="24"/>
              </w:rPr>
            </w:pPr>
            <w:r w:rsidRPr="00EB5F2C">
              <w:rPr>
                <w:rFonts w:ascii="Times New Roman" w:hAnsi="Times New Roman" w:cs="Times New Roman"/>
                <w:b/>
                <w:bCs/>
                <w:sz w:val="24"/>
                <w:szCs w:val="24"/>
              </w:rPr>
              <w:t>Naziv razdjela - organizacijske jedinice</w:t>
            </w:r>
          </w:p>
        </w:tc>
        <w:tc>
          <w:tcPr>
            <w:tcW w:w="1397" w:type="dxa"/>
            <w:shd w:val="clear" w:color="auto" w:fill="auto"/>
            <w:noWrap/>
            <w:hideMark/>
          </w:tcPr>
          <w:p w14:paraId="6251BDA9" w14:textId="77777777" w:rsidR="00D14A18" w:rsidRPr="00EB5F2C" w:rsidRDefault="00D14A18" w:rsidP="00052228">
            <w:pPr>
              <w:ind w:left="-157"/>
              <w:jc w:val="right"/>
              <w:rPr>
                <w:rFonts w:ascii="Times New Roman" w:hAnsi="Times New Roman" w:cs="Times New Roman"/>
                <w:b/>
                <w:bCs/>
                <w:sz w:val="24"/>
                <w:szCs w:val="24"/>
              </w:rPr>
            </w:pPr>
            <w:r w:rsidRPr="00EB5F2C">
              <w:rPr>
                <w:rFonts w:ascii="Times New Roman" w:hAnsi="Times New Roman" w:cs="Times New Roman"/>
                <w:b/>
                <w:bCs/>
                <w:noProof/>
                <w:sz w:val="24"/>
                <w:szCs w:val="24"/>
              </w:rPr>
              <w:t xml:space="preserve">Iznos </w:t>
            </w:r>
          </w:p>
        </w:tc>
      </w:tr>
      <w:tr w:rsidR="00D14A18" w:rsidRPr="00EB5F2C" w14:paraId="34F94C6F" w14:textId="77777777" w:rsidTr="00886022">
        <w:trPr>
          <w:trHeight w:hRule="exact" w:val="289"/>
        </w:trPr>
        <w:tc>
          <w:tcPr>
            <w:tcW w:w="7694" w:type="dxa"/>
            <w:shd w:val="clear" w:color="auto" w:fill="auto"/>
            <w:noWrap/>
            <w:hideMark/>
          </w:tcPr>
          <w:p w14:paraId="3235B800"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Razdjel: 410 UPRAVNI ODJEL ZA POSLOVE GRADONAČELNIKA I GRADSKOG VIJEĆA</w:t>
            </w:r>
          </w:p>
        </w:tc>
        <w:tc>
          <w:tcPr>
            <w:tcW w:w="1397" w:type="dxa"/>
            <w:shd w:val="clear" w:color="auto" w:fill="auto"/>
            <w:noWrap/>
            <w:hideMark/>
          </w:tcPr>
          <w:p w14:paraId="51E0B7D5"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5.606.636,00</w:t>
            </w:r>
          </w:p>
        </w:tc>
      </w:tr>
      <w:tr w:rsidR="00D14A18" w:rsidRPr="00EB5F2C" w14:paraId="40F64DBF" w14:textId="77777777" w:rsidTr="00886022">
        <w:trPr>
          <w:trHeight w:hRule="exact" w:val="289"/>
        </w:trPr>
        <w:tc>
          <w:tcPr>
            <w:tcW w:w="7694" w:type="dxa"/>
            <w:shd w:val="clear" w:color="auto" w:fill="auto"/>
            <w:noWrap/>
            <w:hideMark/>
          </w:tcPr>
          <w:p w14:paraId="5AF600EF"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Razdjel: 420 UPRAVNI ODJEL ZA GRADNJU I KOMUNALNO GOSPODARSTVO</w:t>
            </w:r>
          </w:p>
        </w:tc>
        <w:tc>
          <w:tcPr>
            <w:tcW w:w="1397" w:type="dxa"/>
            <w:shd w:val="clear" w:color="auto" w:fill="auto"/>
            <w:noWrap/>
            <w:hideMark/>
          </w:tcPr>
          <w:p w14:paraId="2A8EBD06"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54.690.848,19</w:t>
            </w:r>
          </w:p>
        </w:tc>
      </w:tr>
      <w:tr w:rsidR="00D14A18" w:rsidRPr="00EB5F2C" w14:paraId="37A626E4" w14:textId="77777777" w:rsidTr="00886022">
        <w:trPr>
          <w:trHeight w:hRule="exact" w:val="289"/>
        </w:trPr>
        <w:tc>
          <w:tcPr>
            <w:tcW w:w="7694" w:type="dxa"/>
            <w:shd w:val="clear" w:color="auto" w:fill="auto"/>
            <w:noWrap/>
            <w:hideMark/>
          </w:tcPr>
          <w:p w14:paraId="44116590"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Razdjel: 430 UPRAVNI ODJEL ZA GOSPODARSKE DJELATNOSTI</w:t>
            </w:r>
          </w:p>
        </w:tc>
        <w:tc>
          <w:tcPr>
            <w:tcW w:w="1397" w:type="dxa"/>
            <w:shd w:val="clear" w:color="auto" w:fill="auto"/>
            <w:noWrap/>
            <w:hideMark/>
          </w:tcPr>
          <w:p w14:paraId="6A722299"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2.842.837,00</w:t>
            </w:r>
          </w:p>
        </w:tc>
      </w:tr>
      <w:tr w:rsidR="00D14A18" w:rsidRPr="00EB5F2C" w14:paraId="434F21A9" w14:textId="77777777" w:rsidTr="00886022">
        <w:trPr>
          <w:trHeight w:hRule="exact" w:val="289"/>
        </w:trPr>
        <w:tc>
          <w:tcPr>
            <w:tcW w:w="7694" w:type="dxa"/>
            <w:shd w:val="clear" w:color="auto" w:fill="auto"/>
            <w:noWrap/>
            <w:hideMark/>
          </w:tcPr>
          <w:p w14:paraId="7C2ED476"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Razdjel: 440 UPRAVNI ODJEL ZA DRUŠTVENE DJELATNOSTI</w:t>
            </w:r>
          </w:p>
        </w:tc>
        <w:tc>
          <w:tcPr>
            <w:tcW w:w="1397" w:type="dxa"/>
            <w:shd w:val="clear" w:color="auto" w:fill="auto"/>
            <w:noWrap/>
            <w:hideMark/>
          </w:tcPr>
          <w:p w14:paraId="2B99B8B1"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38.281.611,00</w:t>
            </w:r>
          </w:p>
        </w:tc>
      </w:tr>
      <w:tr w:rsidR="00D14A18" w:rsidRPr="00EB5F2C" w14:paraId="22D3777A" w14:textId="77777777" w:rsidTr="00886022">
        <w:trPr>
          <w:trHeight w:hRule="exact" w:val="289"/>
        </w:trPr>
        <w:tc>
          <w:tcPr>
            <w:tcW w:w="7694" w:type="dxa"/>
            <w:shd w:val="clear" w:color="auto" w:fill="auto"/>
            <w:noWrap/>
          </w:tcPr>
          <w:p w14:paraId="4DCB358C"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Razdjel: 450 ODJEL ZA UNUTARNJU REVIZIJU</w:t>
            </w:r>
          </w:p>
        </w:tc>
        <w:tc>
          <w:tcPr>
            <w:tcW w:w="1397" w:type="dxa"/>
            <w:shd w:val="clear" w:color="auto" w:fill="auto"/>
            <w:noWrap/>
          </w:tcPr>
          <w:p w14:paraId="07D21DF2"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3.100,00</w:t>
            </w:r>
          </w:p>
        </w:tc>
      </w:tr>
      <w:tr w:rsidR="00D14A18" w:rsidRPr="00EB5F2C" w14:paraId="3A8F956D" w14:textId="77777777" w:rsidTr="00886022">
        <w:trPr>
          <w:trHeight w:hRule="exact" w:val="289"/>
        </w:trPr>
        <w:tc>
          <w:tcPr>
            <w:tcW w:w="7694" w:type="dxa"/>
            <w:shd w:val="clear" w:color="auto" w:fill="auto"/>
            <w:noWrap/>
          </w:tcPr>
          <w:p w14:paraId="259B3D64"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Razdjel: 460 UPRAVNI ODJEL ZA FINANCIJE, PRORAČUN I JAVNU NABAVU</w:t>
            </w:r>
          </w:p>
        </w:tc>
        <w:tc>
          <w:tcPr>
            <w:tcW w:w="1397" w:type="dxa"/>
            <w:shd w:val="clear" w:color="auto" w:fill="auto"/>
            <w:noWrap/>
          </w:tcPr>
          <w:p w14:paraId="4F8EF666"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11.090.612,00</w:t>
            </w:r>
          </w:p>
        </w:tc>
      </w:tr>
      <w:tr w:rsidR="00D14A18" w:rsidRPr="00EB5F2C" w14:paraId="181A7FA2" w14:textId="77777777" w:rsidTr="00886022">
        <w:trPr>
          <w:cnfStyle w:val="010000000000" w:firstRow="0" w:lastRow="1" w:firstColumn="0" w:lastColumn="0" w:oddVBand="0" w:evenVBand="0" w:oddHBand="0" w:evenHBand="0" w:firstRowFirstColumn="0" w:firstRowLastColumn="0" w:lastRowFirstColumn="0" w:lastRowLastColumn="0"/>
          <w:trHeight w:hRule="exact" w:val="289"/>
        </w:trPr>
        <w:tc>
          <w:tcPr>
            <w:tcW w:w="7694" w:type="dxa"/>
            <w:tcBorders>
              <w:top w:val="none" w:sz="0" w:space="0" w:color="auto"/>
            </w:tcBorders>
            <w:shd w:val="clear" w:color="auto" w:fill="auto"/>
            <w:noWrap/>
            <w:vAlign w:val="bottom"/>
            <w:hideMark/>
          </w:tcPr>
          <w:p w14:paraId="31643F6E" w14:textId="77777777" w:rsidR="00D14A18" w:rsidRPr="00EB5F2C" w:rsidRDefault="00D14A18" w:rsidP="00052228">
            <w:pPr>
              <w:rPr>
                <w:rFonts w:ascii="Times New Roman" w:hAnsi="Times New Roman" w:cs="Times New Roman"/>
                <w:sz w:val="24"/>
                <w:szCs w:val="24"/>
              </w:rPr>
            </w:pPr>
            <w:r w:rsidRPr="00EB5F2C">
              <w:rPr>
                <w:rFonts w:ascii="Times New Roman" w:hAnsi="Times New Roman" w:cs="Times New Roman"/>
                <w:sz w:val="24"/>
                <w:szCs w:val="24"/>
              </w:rPr>
              <w:t>UKUPNO:</w:t>
            </w:r>
          </w:p>
        </w:tc>
        <w:tc>
          <w:tcPr>
            <w:tcW w:w="1397" w:type="dxa"/>
            <w:tcBorders>
              <w:top w:val="none" w:sz="0" w:space="0" w:color="auto"/>
            </w:tcBorders>
            <w:shd w:val="clear" w:color="auto" w:fill="auto"/>
            <w:noWrap/>
            <w:hideMark/>
          </w:tcPr>
          <w:p w14:paraId="6DE227B7" w14:textId="77777777" w:rsidR="00D14A18" w:rsidRPr="00EB5F2C" w:rsidRDefault="00D14A18" w:rsidP="00052228">
            <w:pPr>
              <w:jc w:val="right"/>
              <w:rPr>
                <w:rFonts w:ascii="Times New Roman" w:hAnsi="Times New Roman" w:cs="Times New Roman"/>
                <w:sz w:val="24"/>
                <w:szCs w:val="24"/>
              </w:rPr>
            </w:pPr>
            <w:r w:rsidRPr="00EB5F2C">
              <w:rPr>
                <w:rFonts w:ascii="Times New Roman" w:hAnsi="Times New Roman" w:cs="Times New Roman"/>
                <w:sz w:val="24"/>
                <w:szCs w:val="24"/>
              </w:rPr>
              <w:t>112.515.644,19</w:t>
            </w:r>
          </w:p>
        </w:tc>
      </w:tr>
    </w:tbl>
    <w:p w14:paraId="4B9F2FE9" w14:textId="77777777" w:rsidR="00D14A18" w:rsidRDefault="00D14A18" w:rsidP="00D14A18">
      <w:pPr>
        <w:rPr>
          <w:rFonts w:cs="Times New Roman"/>
          <w:b/>
          <w:color w:val="D16349"/>
          <w:sz w:val="24"/>
          <w:szCs w:val="24"/>
        </w:rPr>
      </w:pPr>
    </w:p>
    <w:p w14:paraId="34FDD11E" w14:textId="77777777" w:rsidR="00D14A18" w:rsidRPr="00886022" w:rsidRDefault="00D14A18" w:rsidP="00D14A18">
      <w:pPr>
        <w:pStyle w:val="Opisslike"/>
        <w:rPr>
          <w:rFonts w:ascii="Times New Roman" w:hAnsi="Times New Roman" w:cs="Times New Roman"/>
          <w:b w:val="0"/>
          <w:iCs/>
          <w:color w:val="auto"/>
          <w:sz w:val="24"/>
          <w:szCs w:val="24"/>
        </w:rPr>
      </w:pPr>
      <w:r>
        <w:rPr>
          <w:rFonts w:ascii="Times New Roman" w:hAnsi="Times New Roman" w:cs="Times New Roman"/>
          <w:b w:val="0"/>
          <w:iCs/>
          <w:color w:val="auto"/>
          <w:sz w:val="24"/>
          <w:szCs w:val="24"/>
        </w:rPr>
        <w:t xml:space="preserve">GRAFIKON </w:t>
      </w:r>
      <w:r w:rsidRPr="00886022">
        <w:rPr>
          <w:rFonts w:ascii="Times New Roman" w:hAnsi="Times New Roman" w:cs="Times New Roman"/>
          <w:b w:val="0"/>
          <w:iCs/>
          <w:color w:val="auto"/>
          <w:sz w:val="24"/>
          <w:szCs w:val="24"/>
        </w:rPr>
        <w:t xml:space="preserve">6: </w:t>
      </w:r>
      <w:r>
        <w:rPr>
          <w:rFonts w:ascii="Times New Roman" w:hAnsi="Times New Roman" w:cs="Times New Roman"/>
          <w:b w:val="0"/>
          <w:iCs/>
          <w:color w:val="auto"/>
          <w:sz w:val="24"/>
          <w:szCs w:val="24"/>
        </w:rPr>
        <w:t>STRUKTURA RASHODA PO ORGANIZACIJSKOJ KLASIFIKACIJI ZA 2024. GODINU</w:t>
      </w:r>
    </w:p>
    <w:p w14:paraId="084C2CB7" w14:textId="77777777" w:rsidR="00D14A18" w:rsidRDefault="00D14A18" w:rsidP="00D14A18">
      <w:r w:rsidRPr="00EB5F2C">
        <w:rPr>
          <w:noProof/>
          <w:shd w:val="clear" w:color="auto" w:fill="FFFFFF" w:themeFill="background1"/>
        </w:rPr>
        <w:drawing>
          <wp:inline distT="0" distB="0" distL="0" distR="0" wp14:anchorId="7129717F" wp14:editId="5DF3FE56">
            <wp:extent cx="5759450" cy="4606290"/>
            <wp:effectExtent l="0" t="0" r="12700" b="3810"/>
            <wp:docPr id="87735991" name="Grafikon 1">
              <a:hlinkClick xmlns:a="http://schemas.openxmlformats.org/drawingml/2006/main" r:id="rId11"/>
              <a:extLst xmlns:a="http://schemas.openxmlformats.org/drawingml/2006/main">
                <a:ext uri="{FF2B5EF4-FFF2-40B4-BE49-F238E27FC236}">
                  <a16:creationId xmlns:a16="http://schemas.microsoft.com/office/drawing/2014/main" id="{D33B04CC-5D48-2FC7-FD3D-C484E1898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5C2086" w14:textId="77777777" w:rsidR="00D14A18" w:rsidRPr="00811FCA" w:rsidRDefault="00D14A18" w:rsidP="00D14A18">
      <w:pPr>
        <w:rPr>
          <w:rFonts w:ascii="Times New Roman" w:hAnsi="Times New Roman" w:cs="Times New Roman"/>
          <w:sz w:val="24"/>
          <w:szCs w:val="24"/>
        </w:rPr>
      </w:pPr>
    </w:p>
    <w:p w14:paraId="0258AFCA" w14:textId="77777777" w:rsidR="00D14A18" w:rsidRPr="00DE64EF" w:rsidRDefault="00D14A18" w:rsidP="00D14A18">
      <w:pPr>
        <w:rPr>
          <w:rFonts w:ascii="Times New Roman" w:hAnsi="Times New Roman" w:cs="Times New Roman"/>
          <w:b/>
          <w:bCs/>
          <w:sz w:val="24"/>
          <w:szCs w:val="24"/>
        </w:rPr>
      </w:pPr>
      <w:r w:rsidRPr="00DE64EF">
        <w:rPr>
          <w:rFonts w:ascii="Times New Roman" w:hAnsi="Times New Roman" w:cs="Times New Roman"/>
          <w:b/>
          <w:bCs/>
          <w:sz w:val="24"/>
          <w:szCs w:val="24"/>
        </w:rPr>
        <w:lastRenderedPageBreak/>
        <w:t>PRORAČUNSKI KORISNICI I TRGOVAČKA DRUŠTVA U VLASNIŠTVU GRADA VARAŽDINA</w:t>
      </w:r>
    </w:p>
    <w:p w14:paraId="1F5C9CA5" w14:textId="77777777" w:rsidR="00D14A18" w:rsidRDefault="00D14A18" w:rsidP="00D14A18">
      <w:pPr>
        <w:rPr>
          <w:rFonts w:ascii="Times New Roman" w:hAnsi="Times New Roman" w:cs="Times New Roman"/>
          <w:sz w:val="24"/>
          <w:szCs w:val="24"/>
        </w:rPr>
      </w:pPr>
      <w:r w:rsidRPr="00811FCA">
        <w:rPr>
          <w:rFonts w:ascii="Times New Roman" w:hAnsi="Times New Roman" w:cs="Times New Roman"/>
          <w:sz w:val="24"/>
          <w:szCs w:val="24"/>
        </w:rPr>
        <w:t>Unutar Upravnih odjela koji se u proračunu nazivaju „Razdjeli“ postoje niže organizacijske jedinice „Glave“ i „proračunski korisnici“.</w:t>
      </w:r>
    </w:p>
    <w:p w14:paraId="6B80871E" w14:textId="58FC3A25" w:rsidR="00D14A18" w:rsidRDefault="00D14A18" w:rsidP="007C0524">
      <w:pPr>
        <w:jc w:val="both"/>
        <w:rPr>
          <w:rFonts w:ascii="Times New Roman" w:hAnsi="Times New Roman" w:cs="Times New Roman"/>
          <w:bCs/>
          <w:sz w:val="24"/>
          <w:szCs w:val="24"/>
        </w:rPr>
      </w:pPr>
      <w:r w:rsidRPr="00864A31">
        <w:rPr>
          <w:rFonts w:ascii="Times New Roman" w:hAnsi="Times New Roman" w:cs="Times New Roman"/>
          <w:bCs/>
          <w:sz w:val="24"/>
          <w:szCs w:val="24"/>
        </w:rPr>
        <w:t xml:space="preserve">Korisnici proračuna Grada Varaždina su ustanove kojima je osnivač Grad Varaždin i koje se većim dijelom financiraju iz gradskog proračuna. Njihovi proračunski prihodi i rashodi sastavni su dio proračuna. Grad Varaždin ima 18 proračunskih korisnika, a to su: Javna vatrogasna postrojba Grada Varaždina, Gradski muzej Varaždin, Hrvatsko narodno kazalište u Varaždinu, Gradska knjižnica i čitaonica </w:t>
      </w:r>
      <w:proofErr w:type="spellStart"/>
      <w:r w:rsidRPr="00864A31">
        <w:rPr>
          <w:rFonts w:ascii="Times New Roman" w:hAnsi="Times New Roman" w:cs="Times New Roman"/>
          <w:bCs/>
          <w:sz w:val="24"/>
          <w:szCs w:val="24"/>
        </w:rPr>
        <w:t>Metel</w:t>
      </w:r>
      <w:proofErr w:type="spellEnd"/>
      <w:r w:rsidRPr="00864A31">
        <w:rPr>
          <w:rFonts w:ascii="Times New Roman" w:hAnsi="Times New Roman" w:cs="Times New Roman"/>
          <w:bCs/>
          <w:sz w:val="24"/>
          <w:szCs w:val="24"/>
        </w:rPr>
        <w:t xml:space="preserve"> Ožegović, Centar za odgoj i obrazovanje Tomislav Špoljar, I. osnovna škola Varaždin, II. osnovna škola Varaždin, III. osnovna škola Varaždin, IV. osnovna škola Varaždin, V. osnovna škola Varaždin, VI. osnovna škola Varaždin, VII. osnovna škola Varaždin, Dječji vrtić Varaždin, Koncertni ured Varaždin, Javna ustanova Gradski stanovi, Javna ustanova Gradski bazeni, Dom za žrtve obiteljskog nasilja „ Utočište sveti Nikola“ i Centar za pružanje usluga u zajednici Varaždin</w:t>
      </w:r>
      <w:r w:rsidR="007C0524">
        <w:rPr>
          <w:rFonts w:ascii="Times New Roman" w:hAnsi="Times New Roman" w:cs="Times New Roman"/>
          <w:bCs/>
          <w:sz w:val="24"/>
          <w:szCs w:val="24"/>
        </w:rPr>
        <w:t>.</w:t>
      </w:r>
    </w:p>
    <w:p w14:paraId="0ABBE780" w14:textId="77777777" w:rsidR="007C0524" w:rsidRDefault="007C0524" w:rsidP="007C0524">
      <w:pPr>
        <w:jc w:val="both"/>
        <w:rPr>
          <w:rFonts w:ascii="Times New Roman" w:hAnsi="Times New Roman" w:cs="Times New Roman"/>
          <w:bCs/>
          <w:sz w:val="24"/>
          <w:szCs w:val="24"/>
        </w:rPr>
      </w:pPr>
    </w:p>
    <w:p w14:paraId="6A4AB85F" w14:textId="77777777" w:rsidR="007C0524" w:rsidRDefault="007C0524" w:rsidP="007C0524">
      <w:pPr>
        <w:keepNext/>
        <w:keepLines/>
        <w:spacing w:before="200"/>
        <w:outlineLvl w:val="1"/>
        <w:rPr>
          <w:rFonts w:ascii="Times New Roman" w:eastAsiaTheme="majorEastAsia" w:hAnsi="Times New Roman" w:cs="Times New Roman"/>
          <w:b/>
          <w:bCs/>
          <w:sz w:val="22"/>
          <w:szCs w:val="22"/>
        </w:rPr>
      </w:pPr>
    </w:p>
    <w:p w14:paraId="4F9003C8" w14:textId="77777777" w:rsidR="007C0524" w:rsidRDefault="007C0524" w:rsidP="007C0524">
      <w:pPr>
        <w:pStyle w:val="Opisslike"/>
        <w:jc w:val="center"/>
        <w:rPr>
          <w:rFonts w:ascii="Times New Roman" w:hAnsi="Times New Roman" w:cs="Times New Roman"/>
          <w:b w:val="0"/>
          <w:iCs/>
          <w:color w:val="auto"/>
          <w:sz w:val="24"/>
          <w:szCs w:val="24"/>
        </w:rPr>
      </w:pPr>
      <w:r>
        <w:rPr>
          <w:rFonts w:ascii="Times New Roman" w:hAnsi="Times New Roman" w:cs="Times New Roman"/>
          <w:b w:val="0"/>
          <w:iCs/>
          <w:color w:val="auto"/>
          <w:sz w:val="24"/>
          <w:szCs w:val="24"/>
        </w:rPr>
        <w:t>TABLICA 3. RASPORED RASHODA PO RAZDJELIMA I GLAVAMA I PRORAČUNSKIM KORISNICIMA</w:t>
      </w:r>
    </w:p>
    <w:tbl>
      <w:tblPr>
        <w:tblStyle w:val="Srednjareetka1-Isticanje3"/>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640" w:firstRow="0" w:lastRow="1" w:firstColumn="0" w:lastColumn="0" w:noHBand="1" w:noVBand="1"/>
      </w:tblPr>
      <w:tblGrid>
        <w:gridCol w:w="6884"/>
        <w:gridCol w:w="2224"/>
      </w:tblGrid>
      <w:tr w:rsidR="007C0524" w:rsidRPr="00811FCA" w14:paraId="31A2CD5A" w14:textId="77777777" w:rsidTr="00FE51F5">
        <w:trPr>
          <w:trHeight w:hRule="exact" w:val="284"/>
        </w:trPr>
        <w:tc>
          <w:tcPr>
            <w:tcW w:w="6884" w:type="dxa"/>
            <w:shd w:val="clear" w:color="auto" w:fill="FFFFFF" w:themeFill="background1"/>
            <w:noWrap/>
            <w:hideMark/>
          </w:tcPr>
          <w:p w14:paraId="62EDDF61" w14:textId="77777777" w:rsidR="007C0524" w:rsidRPr="00493E93" w:rsidRDefault="007C0524" w:rsidP="00FE51F5">
            <w:pPr>
              <w:ind w:firstLineChars="100" w:firstLine="240"/>
              <w:jc w:val="center"/>
              <w:rPr>
                <w:rFonts w:ascii="Times New Roman" w:hAnsi="Times New Roman" w:cs="Times New Roman"/>
                <w:color w:val="000000"/>
                <w:sz w:val="24"/>
                <w:szCs w:val="24"/>
              </w:rPr>
            </w:pPr>
            <w:r w:rsidRPr="00493E93">
              <w:rPr>
                <w:rFonts w:ascii="Times New Roman" w:hAnsi="Times New Roman" w:cs="Times New Roman"/>
                <w:color w:val="000000"/>
                <w:sz w:val="24"/>
                <w:szCs w:val="24"/>
              </w:rPr>
              <w:t>Naziv razdjela/glave s korisnicima- organizacijske jedinice</w:t>
            </w:r>
          </w:p>
        </w:tc>
        <w:tc>
          <w:tcPr>
            <w:tcW w:w="2224" w:type="dxa"/>
            <w:shd w:val="clear" w:color="auto" w:fill="FFFFFF" w:themeFill="background1"/>
            <w:noWrap/>
            <w:hideMark/>
          </w:tcPr>
          <w:p w14:paraId="5A9F7044" w14:textId="77777777" w:rsidR="007C0524" w:rsidRPr="00493E93" w:rsidRDefault="007C0524" w:rsidP="00FE51F5">
            <w:pPr>
              <w:ind w:firstLineChars="100" w:firstLine="240"/>
              <w:jc w:val="center"/>
              <w:rPr>
                <w:rFonts w:ascii="Times New Roman" w:hAnsi="Times New Roman" w:cs="Times New Roman"/>
                <w:color w:val="000000"/>
                <w:sz w:val="24"/>
                <w:szCs w:val="24"/>
              </w:rPr>
            </w:pPr>
            <w:r w:rsidRPr="00493E93">
              <w:rPr>
                <w:rFonts w:ascii="Times New Roman" w:hAnsi="Times New Roman" w:cs="Times New Roman"/>
                <w:color w:val="000000"/>
                <w:sz w:val="24"/>
                <w:szCs w:val="24"/>
              </w:rPr>
              <w:t>Iznos</w:t>
            </w:r>
          </w:p>
        </w:tc>
      </w:tr>
      <w:tr w:rsidR="007C0524" w:rsidRPr="00811FCA" w14:paraId="707B1B35" w14:textId="77777777" w:rsidTr="00FE51F5">
        <w:trPr>
          <w:trHeight w:hRule="exact" w:val="284"/>
        </w:trPr>
        <w:tc>
          <w:tcPr>
            <w:tcW w:w="6884" w:type="dxa"/>
            <w:shd w:val="clear" w:color="auto" w:fill="FFFFFF" w:themeFill="background1"/>
            <w:noWrap/>
          </w:tcPr>
          <w:p w14:paraId="4DACB7B5"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Razdjel: 410 UPRAVNI ODJEL ZA POSLOVE GRADONAČELNIKA I GRADSKOG VIJEĆA</w:t>
            </w:r>
          </w:p>
        </w:tc>
        <w:tc>
          <w:tcPr>
            <w:tcW w:w="2224" w:type="dxa"/>
            <w:shd w:val="clear" w:color="auto" w:fill="FFFFFF" w:themeFill="background1"/>
            <w:noWrap/>
          </w:tcPr>
          <w:p w14:paraId="76107590"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5.606.636,00</w:t>
            </w:r>
          </w:p>
        </w:tc>
      </w:tr>
      <w:tr w:rsidR="007C0524" w:rsidRPr="00811FCA" w14:paraId="0620E05B" w14:textId="77777777" w:rsidTr="00FE51F5">
        <w:trPr>
          <w:trHeight w:hRule="exact" w:val="284"/>
        </w:trPr>
        <w:tc>
          <w:tcPr>
            <w:tcW w:w="6884" w:type="dxa"/>
            <w:shd w:val="clear" w:color="auto" w:fill="FFFFFF" w:themeFill="background1"/>
            <w:noWrap/>
          </w:tcPr>
          <w:p w14:paraId="3DCFB0DF"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41001 GRADONAČELNIK</w:t>
            </w:r>
          </w:p>
        </w:tc>
        <w:tc>
          <w:tcPr>
            <w:tcW w:w="2224" w:type="dxa"/>
            <w:shd w:val="clear" w:color="auto" w:fill="FFFFFF" w:themeFill="background1"/>
            <w:noWrap/>
          </w:tcPr>
          <w:p w14:paraId="63C13526"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635.510,00</w:t>
            </w:r>
          </w:p>
        </w:tc>
      </w:tr>
      <w:tr w:rsidR="007C0524" w:rsidRPr="00811FCA" w14:paraId="60178826" w14:textId="77777777" w:rsidTr="00FE51F5">
        <w:trPr>
          <w:trHeight w:hRule="exact" w:val="284"/>
        </w:trPr>
        <w:tc>
          <w:tcPr>
            <w:tcW w:w="6884" w:type="dxa"/>
            <w:shd w:val="clear" w:color="auto" w:fill="FFFFFF" w:themeFill="background1"/>
            <w:noWrap/>
          </w:tcPr>
          <w:p w14:paraId="364BA59A"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41002 GRADSKO VIJEĆE</w:t>
            </w:r>
          </w:p>
        </w:tc>
        <w:tc>
          <w:tcPr>
            <w:tcW w:w="2224" w:type="dxa"/>
            <w:shd w:val="clear" w:color="auto" w:fill="FFFFFF" w:themeFill="background1"/>
            <w:noWrap/>
          </w:tcPr>
          <w:p w14:paraId="0F1CD4AC"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153.826,00</w:t>
            </w:r>
          </w:p>
        </w:tc>
      </w:tr>
      <w:tr w:rsidR="007C0524" w:rsidRPr="00811FCA" w14:paraId="2B577CFC" w14:textId="77777777" w:rsidTr="00FE51F5">
        <w:trPr>
          <w:trHeight w:hRule="exact" w:val="284"/>
        </w:trPr>
        <w:tc>
          <w:tcPr>
            <w:tcW w:w="6884" w:type="dxa"/>
            <w:shd w:val="clear" w:color="auto" w:fill="FFFFFF" w:themeFill="background1"/>
            <w:noWrap/>
          </w:tcPr>
          <w:p w14:paraId="01CF0674"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41003 UPRAVNI ODJEL ZA POSLOVE GRADONAČELNIKA I GRADSKOG VIJEĆA</w:t>
            </w:r>
          </w:p>
        </w:tc>
        <w:tc>
          <w:tcPr>
            <w:tcW w:w="2224" w:type="dxa"/>
            <w:shd w:val="clear" w:color="auto" w:fill="FFFFFF" w:themeFill="background1"/>
            <w:noWrap/>
          </w:tcPr>
          <w:p w14:paraId="7E375226"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1.395.380,00</w:t>
            </w:r>
          </w:p>
        </w:tc>
      </w:tr>
      <w:tr w:rsidR="007C0524" w:rsidRPr="00811FCA" w14:paraId="2D01B09A" w14:textId="77777777" w:rsidTr="00FE51F5">
        <w:trPr>
          <w:trHeight w:hRule="exact" w:val="284"/>
        </w:trPr>
        <w:tc>
          <w:tcPr>
            <w:tcW w:w="6884" w:type="dxa"/>
            <w:shd w:val="clear" w:color="auto" w:fill="FFFFFF" w:themeFill="background1"/>
            <w:noWrap/>
          </w:tcPr>
          <w:p w14:paraId="56629FCB"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41080 JAVNA VATROGASNA POSTROJBA GRADA VARAŽDINA</w:t>
            </w:r>
          </w:p>
        </w:tc>
        <w:tc>
          <w:tcPr>
            <w:tcW w:w="2224" w:type="dxa"/>
            <w:shd w:val="clear" w:color="auto" w:fill="FFFFFF" w:themeFill="background1"/>
            <w:noWrap/>
          </w:tcPr>
          <w:p w14:paraId="20991D31"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3.421.920,00</w:t>
            </w:r>
          </w:p>
        </w:tc>
      </w:tr>
      <w:tr w:rsidR="007C0524" w:rsidRPr="00811FCA" w14:paraId="5C4005A2" w14:textId="77777777" w:rsidTr="00FE51F5">
        <w:trPr>
          <w:trHeight w:hRule="exact" w:val="284"/>
        </w:trPr>
        <w:tc>
          <w:tcPr>
            <w:tcW w:w="6884" w:type="dxa"/>
            <w:shd w:val="clear" w:color="auto" w:fill="FFFFFF" w:themeFill="background1"/>
            <w:noWrap/>
          </w:tcPr>
          <w:p w14:paraId="34E0C895"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Razdjel: 420 UPRAVNI ODJEL ZA GRADNJU I KOMUNALNO GOSPODARSTVO</w:t>
            </w:r>
          </w:p>
        </w:tc>
        <w:tc>
          <w:tcPr>
            <w:tcW w:w="2224" w:type="dxa"/>
            <w:shd w:val="clear" w:color="auto" w:fill="FFFFFF" w:themeFill="background1"/>
            <w:noWrap/>
          </w:tcPr>
          <w:p w14:paraId="2E7BBE4B"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54.690.848,19</w:t>
            </w:r>
          </w:p>
        </w:tc>
      </w:tr>
      <w:tr w:rsidR="007C0524" w:rsidRPr="00811FCA" w14:paraId="32FAED91" w14:textId="77777777" w:rsidTr="00FE51F5">
        <w:trPr>
          <w:trHeight w:hRule="exact" w:val="284"/>
        </w:trPr>
        <w:tc>
          <w:tcPr>
            <w:tcW w:w="6884" w:type="dxa"/>
            <w:shd w:val="clear" w:color="auto" w:fill="FFFFFF" w:themeFill="background1"/>
            <w:noWrap/>
          </w:tcPr>
          <w:p w14:paraId="1F24EF25"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42001 UPRAVNI ODJEL ZA GRADNJU I KOMUNALNO GOSPODARSTVO</w:t>
            </w:r>
          </w:p>
        </w:tc>
        <w:tc>
          <w:tcPr>
            <w:tcW w:w="2224" w:type="dxa"/>
            <w:shd w:val="clear" w:color="auto" w:fill="FFFFFF" w:themeFill="background1"/>
            <w:noWrap/>
          </w:tcPr>
          <w:p w14:paraId="66F7295E"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50.021.543,19</w:t>
            </w:r>
          </w:p>
        </w:tc>
      </w:tr>
      <w:tr w:rsidR="007C0524" w:rsidRPr="00811FCA" w14:paraId="6DC6CF0C" w14:textId="77777777" w:rsidTr="00FE51F5">
        <w:trPr>
          <w:trHeight w:hRule="exact" w:val="284"/>
        </w:trPr>
        <w:tc>
          <w:tcPr>
            <w:tcW w:w="6884" w:type="dxa"/>
            <w:shd w:val="clear" w:color="auto" w:fill="FFFFFF" w:themeFill="background1"/>
            <w:noWrap/>
          </w:tcPr>
          <w:p w14:paraId="5F789529"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42080 JAVNA USTANOVA GRADSKI STANOVI</w:t>
            </w:r>
          </w:p>
        </w:tc>
        <w:tc>
          <w:tcPr>
            <w:tcW w:w="2224" w:type="dxa"/>
            <w:shd w:val="clear" w:color="auto" w:fill="FFFFFF" w:themeFill="background1"/>
            <w:noWrap/>
          </w:tcPr>
          <w:p w14:paraId="2FFF3CA8"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4.669.305,00</w:t>
            </w:r>
          </w:p>
        </w:tc>
      </w:tr>
      <w:tr w:rsidR="007C0524" w:rsidRPr="00811FCA" w14:paraId="6969778F" w14:textId="77777777" w:rsidTr="00FE51F5">
        <w:trPr>
          <w:trHeight w:hRule="exact" w:val="284"/>
        </w:trPr>
        <w:tc>
          <w:tcPr>
            <w:tcW w:w="6884" w:type="dxa"/>
            <w:shd w:val="clear" w:color="auto" w:fill="FFFFFF" w:themeFill="background1"/>
            <w:noWrap/>
          </w:tcPr>
          <w:p w14:paraId="7F01ED47"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Razdjel: 430 UPRAVNI ODJEL ZA GOSPODARSKE DJELATNOSTI</w:t>
            </w:r>
          </w:p>
        </w:tc>
        <w:tc>
          <w:tcPr>
            <w:tcW w:w="2224" w:type="dxa"/>
            <w:shd w:val="clear" w:color="auto" w:fill="FFFFFF" w:themeFill="background1"/>
            <w:noWrap/>
          </w:tcPr>
          <w:p w14:paraId="07F8A89E"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2.842.837,00</w:t>
            </w:r>
          </w:p>
        </w:tc>
      </w:tr>
      <w:tr w:rsidR="007C0524" w:rsidRPr="00811FCA" w14:paraId="3638AFB8" w14:textId="77777777" w:rsidTr="00FE51F5">
        <w:trPr>
          <w:trHeight w:hRule="exact" w:val="284"/>
        </w:trPr>
        <w:tc>
          <w:tcPr>
            <w:tcW w:w="6884" w:type="dxa"/>
            <w:shd w:val="clear" w:color="auto" w:fill="FFFFFF" w:themeFill="background1"/>
            <w:noWrap/>
          </w:tcPr>
          <w:p w14:paraId="0E1C91B4"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43001 UPRAVNI ODJEL ZA GOSPODARSKE DJELATNOSTI</w:t>
            </w:r>
          </w:p>
        </w:tc>
        <w:tc>
          <w:tcPr>
            <w:tcW w:w="2224" w:type="dxa"/>
            <w:shd w:val="clear" w:color="auto" w:fill="FFFFFF" w:themeFill="background1"/>
            <w:noWrap/>
          </w:tcPr>
          <w:p w14:paraId="790E5751"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2.842.837,00</w:t>
            </w:r>
          </w:p>
        </w:tc>
      </w:tr>
      <w:tr w:rsidR="007C0524" w:rsidRPr="00811FCA" w14:paraId="54976465" w14:textId="77777777" w:rsidTr="00FE51F5">
        <w:trPr>
          <w:trHeight w:hRule="exact" w:val="284"/>
        </w:trPr>
        <w:tc>
          <w:tcPr>
            <w:tcW w:w="6884" w:type="dxa"/>
            <w:shd w:val="clear" w:color="auto" w:fill="FFFFFF" w:themeFill="background1"/>
            <w:noWrap/>
          </w:tcPr>
          <w:p w14:paraId="37B9F1E6"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Razdjel: 440 UPRAVNI ODJEL ZA DRUŠTVENE DJELATNOSTI</w:t>
            </w:r>
          </w:p>
        </w:tc>
        <w:tc>
          <w:tcPr>
            <w:tcW w:w="2224" w:type="dxa"/>
            <w:shd w:val="clear" w:color="auto" w:fill="FFFFFF" w:themeFill="background1"/>
            <w:noWrap/>
          </w:tcPr>
          <w:p w14:paraId="7381C60A"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38.281.611,00</w:t>
            </w:r>
          </w:p>
        </w:tc>
      </w:tr>
      <w:tr w:rsidR="007C0524" w:rsidRPr="00811FCA" w14:paraId="290A8120" w14:textId="77777777" w:rsidTr="00FE51F5">
        <w:trPr>
          <w:trHeight w:hRule="exact" w:val="284"/>
        </w:trPr>
        <w:tc>
          <w:tcPr>
            <w:tcW w:w="6884" w:type="dxa"/>
            <w:shd w:val="clear" w:color="auto" w:fill="FFFFFF" w:themeFill="background1"/>
            <w:noWrap/>
          </w:tcPr>
          <w:p w14:paraId="4EF34CC9"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44001 UPRAVNI ODJEL ZA DRUŠTVENE DJELATNOSTI</w:t>
            </w:r>
          </w:p>
        </w:tc>
        <w:tc>
          <w:tcPr>
            <w:tcW w:w="2224" w:type="dxa"/>
            <w:shd w:val="clear" w:color="auto" w:fill="FFFFFF" w:themeFill="background1"/>
            <w:noWrap/>
          </w:tcPr>
          <w:p w14:paraId="66D5898B"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8.567.994,00</w:t>
            </w:r>
          </w:p>
        </w:tc>
      </w:tr>
      <w:tr w:rsidR="007C0524" w:rsidRPr="00811FCA" w14:paraId="44385197" w14:textId="77777777" w:rsidTr="00FE51F5">
        <w:trPr>
          <w:trHeight w:hRule="exact" w:val="284"/>
        </w:trPr>
        <w:tc>
          <w:tcPr>
            <w:tcW w:w="6884" w:type="dxa"/>
            <w:shd w:val="clear" w:color="auto" w:fill="FFFFFF" w:themeFill="background1"/>
            <w:noWrap/>
          </w:tcPr>
          <w:p w14:paraId="1308641F"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44022 HRVATSKO NARODNO KAZALIŠTE VARAŽDIN</w:t>
            </w:r>
          </w:p>
        </w:tc>
        <w:tc>
          <w:tcPr>
            <w:tcW w:w="2224" w:type="dxa"/>
            <w:shd w:val="clear" w:color="auto" w:fill="FFFFFF" w:themeFill="background1"/>
            <w:noWrap/>
          </w:tcPr>
          <w:p w14:paraId="43F5B548"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2.685.515,00</w:t>
            </w:r>
          </w:p>
        </w:tc>
      </w:tr>
      <w:tr w:rsidR="007C0524" w:rsidRPr="00811FCA" w14:paraId="16264811" w14:textId="77777777" w:rsidTr="00FE51F5">
        <w:trPr>
          <w:trHeight w:hRule="exact" w:val="284"/>
        </w:trPr>
        <w:tc>
          <w:tcPr>
            <w:tcW w:w="6884" w:type="dxa"/>
            <w:shd w:val="clear" w:color="auto" w:fill="FFFFFF" w:themeFill="background1"/>
            <w:noWrap/>
          </w:tcPr>
          <w:p w14:paraId="3F9EDDCE"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44023 GRADSKI MUZEJ VARAŽDIN</w:t>
            </w:r>
          </w:p>
        </w:tc>
        <w:tc>
          <w:tcPr>
            <w:tcW w:w="2224" w:type="dxa"/>
            <w:shd w:val="clear" w:color="auto" w:fill="FFFFFF" w:themeFill="background1"/>
            <w:noWrap/>
          </w:tcPr>
          <w:p w14:paraId="4CAFFA68"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1.848.800,00</w:t>
            </w:r>
          </w:p>
        </w:tc>
      </w:tr>
      <w:tr w:rsidR="007C0524" w:rsidRPr="00811FCA" w14:paraId="4DE0AD25" w14:textId="77777777" w:rsidTr="00FE51F5">
        <w:trPr>
          <w:trHeight w:hRule="exact" w:val="284"/>
        </w:trPr>
        <w:tc>
          <w:tcPr>
            <w:tcW w:w="6884" w:type="dxa"/>
            <w:shd w:val="clear" w:color="auto" w:fill="FFFFFF" w:themeFill="background1"/>
            <w:noWrap/>
          </w:tcPr>
          <w:p w14:paraId="55A7774F"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44024 KNJIŽNICA I ČITAONICA "METEL OŽEGOVIĆ" VARAŽDIN</w:t>
            </w:r>
          </w:p>
        </w:tc>
        <w:tc>
          <w:tcPr>
            <w:tcW w:w="2224" w:type="dxa"/>
            <w:shd w:val="clear" w:color="auto" w:fill="FFFFFF" w:themeFill="background1"/>
            <w:noWrap/>
          </w:tcPr>
          <w:p w14:paraId="14990850"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925.210,00</w:t>
            </w:r>
          </w:p>
        </w:tc>
      </w:tr>
      <w:tr w:rsidR="007C0524" w:rsidRPr="00811FCA" w14:paraId="0F742E0F" w14:textId="77777777" w:rsidTr="00FE51F5">
        <w:trPr>
          <w:trHeight w:hRule="exact" w:val="284"/>
        </w:trPr>
        <w:tc>
          <w:tcPr>
            <w:tcW w:w="6884" w:type="dxa"/>
            <w:shd w:val="clear" w:color="auto" w:fill="FFFFFF" w:themeFill="background1"/>
            <w:noWrap/>
          </w:tcPr>
          <w:p w14:paraId="3F5F343E"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44026 KONCERTNI URED VARAŽDIN</w:t>
            </w:r>
          </w:p>
        </w:tc>
        <w:tc>
          <w:tcPr>
            <w:tcW w:w="2224" w:type="dxa"/>
            <w:shd w:val="clear" w:color="auto" w:fill="FFFFFF" w:themeFill="background1"/>
            <w:noWrap/>
          </w:tcPr>
          <w:p w14:paraId="4263F328"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635.905,00</w:t>
            </w:r>
          </w:p>
        </w:tc>
      </w:tr>
      <w:tr w:rsidR="007C0524" w:rsidRPr="00811FCA" w14:paraId="31AE7846" w14:textId="77777777" w:rsidTr="00FE51F5">
        <w:trPr>
          <w:trHeight w:hRule="exact" w:val="284"/>
        </w:trPr>
        <w:tc>
          <w:tcPr>
            <w:tcW w:w="6884" w:type="dxa"/>
            <w:shd w:val="clear" w:color="auto" w:fill="FFFFFF" w:themeFill="background1"/>
            <w:noWrap/>
          </w:tcPr>
          <w:p w14:paraId="7717B7D5"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44031 DJEČJI VRTIĆ VARAŽDIN</w:t>
            </w:r>
          </w:p>
        </w:tc>
        <w:tc>
          <w:tcPr>
            <w:tcW w:w="2224" w:type="dxa"/>
            <w:shd w:val="clear" w:color="auto" w:fill="FFFFFF" w:themeFill="background1"/>
            <w:noWrap/>
          </w:tcPr>
          <w:p w14:paraId="63F46408"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3.900.754,00</w:t>
            </w:r>
          </w:p>
        </w:tc>
      </w:tr>
      <w:tr w:rsidR="007C0524" w:rsidRPr="00811FCA" w14:paraId="4731B700" w14:textId="77777777" w:rsidTr="00FE51F5">
        <w:trPr>
          <w:trHeight w:hRule="exact" w:val="284"/>
        </w:trPr>
        <w:tc>
          <w:tcPr>
            <w:tcW w:w="6884" w:type="dxa"/>
            <w:shd w:val="clear" w:color="auto" w:fill="FFFFFF" w:themeFill="background1"/>
            <w:noWrap/>
          </w:tcPr>
          <w:p w14:paraId="0D48E874"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44041 OSNOVNO ŠKOLSTVO</w:t>
            </w:r>
          </w:p>
        </w:tc>
        <w:tc>
          <w:tcPr>
            <w:tcW w:w="2224" w:type="dxa"/>
            <w:shd w:val="clear" w:color="auto" w:fill="FFFFFF" w:themeFill="background1"/>
            <w:noWrap/>
          </w:tcPr>
          <w:p w14:paraId="410A6782"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17.391.610,00</w:t>
            </w:r>
          </w:p>
        </w:tc>
      </w:tr>
      <w:tr w:rsidR="007C0524" w:rsidRPr="00811FCA" w14:paraId="23245B66" w14:textId="77777777" w:rsidTr="00FE51F5">
        <w:trPr>
          <w:trHeight w:hRule="exact" w:val="284"/>
        </w:trPr>
        <w:tc>
          <w:tcPr>
            <w:tcW w:w="6884" w:type="dxa"/>
            <w:shd w:val="clear" w:color="auto" w:fill="FFFFFF" w:themeFill="background1"/>
            <w:noWrap/>
          </w:tcPr>
          <w:p w14:paraId="59464D7F"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44051 DOM ZA ŽRTVE OBITELJSKOG NASILJA "UTOČIŠTE SVETI NIKOLA"</w:t>
            </w:r>
          </w:p>
        </w:tc>
        <w:tc>
          <w:tcPr>
            <w:tcW w:w="2224" w:type="dxa"/>
            <w:shd w:val="clear" w:color="auto" w:fill="FFFFFF" w:themeFill="background1"/>
            <w:noWrap/>
          </w:tcPr>
          <w:p w14:paraId="7917DA73"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133.223,00</w:t>
            </w:r>
          </w:p>
        </w:tc>
      </w:tr>
      <w:tr w:rsidR="007C0524" w:rsidRPr="00811FCA" w14:paraId="2209311C" w14:textId="77777777" w:rsidTr="00FE51F5">
        <w:trPr>
          <w:trHeight w:hRule="exact" w:val="284"/>
        </w:trPr>
        <w:tc>
          <w:tcPr>
            <w:tcW w:w="6884" w:type="dxa"/>
            <w:shd w:val="clear" w:color="auto" w:fill="FFFFFF" w:themeFill="background1"/>
            <w:noWrap/>
          </w:tcPr>
          <w:p w14:paraId="44D32801"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44052 CENTAR ZA PRUŽANJE USLUGA U ZAJEDNICI</w:t>
            </w:r>
          </w:p>
        </w:tc>
        <w:tc>
          <w:tcPr>
            <w:tcW w:w="2224" w:type="dxa"/>
            <w:shd w:val="clear" w:color="auto" w:fill="FFFFFF" w:themeFill="background1"/>
            <w:noWrap/>
          </w:tcPr>
          <w:p w14:paraId="73B280EE"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196.150,00</w:t>
            </w:r>
          </w:p>
        </w:tc>
      </w:tr>
      <w:tr w:rsidR="007C0524" w:rsidRPr="00811FCA" w14:paraId="55B73C3F" w14:textId="77777777" w:rsidTr="00FE51F5">
        <w:trPr>
          <w:trHeight w:hRule="exact" w:val="284"/>
        </w:trPr>
        <w:tc>
          <w:tcPr>
            <w:tcW w:w="6884" w:type="dxa"/>
            <w:shd w:val="clear" w:color="auto" w:fill="FFFFFF" w:themeFill="background1"/>
            <w:noWrap/>
          </w:tcPr>
          <w:p w14:paraId="55ADC262"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44061 JAVNA USTANOVA GRADSKI BAZENI VARAŽDIN</w:t>
            </w:r>
          </w:p>
        </w:tc>
        <w:tc>
          <w:tcPr>
            <w:tcW w:w="2224" w:type="dxa"/>
            <w:shd w:val="clear" w:color="auto" w:fill="FFFFFF" w:themeFill="background1"/>
            <w:noWrap/>
          </w:tcPr>
          <w:p w14:paraId="060700D2"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1.996.450,00</w:t>
            </w:r>
          </w:p>
        </w:tc>
      </w:tr>
      <w:tr w:rsidR="007C0524" w:rsidRPr="00811FCA" w14:paraId="3513231D" w14:textId="77777777" w:rsidTr="00FE51F5">
        <w:trPr>
          <w:trHeight w:hRule="exact" w:val="284"/>
        </w:trPr>
        <w:tc>
          <w:tcPr>
            <w:tcW w:w="6884" w:type="dxa"/>
            <w:shd w:val="clear" w:color="auto" w:fill="FFFFFF" w:themeFill="background1"/>
            <w:noWrap/>
          </w:tcPr>
          <w:p w14:paraId="718F336C"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Razdjel: 450 ODJEL ZA UNUTARNJU REVIZIJU</w:t>
            </w:r>
          </w:p>
        </w:tc>
        <w:tc>
          <w:tcPr>
            <w:tcW w:w="2224" w:type="dxa"/>
            <w:shd w:val="clear" w:color="auto" w:fill="FFFFFF" w:themeFill="background1"/>
            <w:noWrap/>
          </w:tcPr>
          <w:p w14:paraId="1DB49DB6"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3.100,00</w:t>
            </w:r>
          </w:p>
        </w:tc>
      </w:tr>
      <w:tr w:rsidR="007C0524" w:rsidRPr="00811FCA" w14:paraId="143B0093" w14:textId="77777777" w:rsidTr="00FE51F5">
        <w:trPr>
          <w:trHeight w:hRule="exact" w:val="284"/>
        </w:trPr>
        <w:tc>
          <w:tcPr>
            <w:tcW w:w="6884" w:type="dxa"/>
            <w:shd w:val="clear" w:color="auto" w:fill="FFFFFF" w:themeFill="background1"/>
            <w:noWrap/>
          </w:tcPr>
          <w:p w14:paraId="3A36DAC4"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Glava: 45001 ODJEL ZA UNUTARNJU REVIZIJU</w:t>
            </w:r>
          </w:p>
        </w:tc>
        <w:tc>
          <w:tcPr>
            <w:tcW w:w="2224" w:type="dxa"/>
            <w:shd w:val="clear" w:color="auto" w:fill="FFFFFF" w:themeFill="background1"/>
            <w:noWrap/>
          </w:tcPr>
          <w:p w14:paraId="657352C3"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3.100,00</w:t>
            </w:r>
          </w:p>
        </w:tc>
      </w:tr>
      <w:tr w:rsidR="007C0524" w:rsidRPr="00811FCA" w14:paraId="6EEF8C1F" w14:textId="77777777" w:rsidTr="00FE51F5">
        <w:trPr>
          <w:trHeight w:hRule="exact" w:val="284"/>
        </w:trPr>
        <w:tc>
          <w:tcPr>
            <w:tcW w:w="6884" w:type="dxa"/>
            <w:shd w:val="clear" w:color="auto" w:fill="FFFFFF" w:themeFill="background1"/>
            <w:noWrap/>
          </w:tcPr>
          <w:p w14:paraId="3691B2F0" w14:textId="77777777" w:rsidR="007C0524" w:rsidRPr="00493E93" w:rsidRDefault="007C0524" w:rsidP="00FE51F5">
            <w:pPr>
              <w:rPr>
                <w:rFonts w:ascii="Times New Roman" w:hAnsi="Times New Roman" w:cs="Times New Roman"/>
                <w:bCs/>
                <w:color w:val="000000"/>
                <w:sz w:val="24"/>
                <w:szCs w:val="24"/>
              </w:rPr>
            </w:pPr>
            <w:r w:rsidRPr="00493E93">
              <w:rPr>
                <w:rFonts w:ascii="Times New Roman" w:hAnsi="Times New Roman" w:cs="Times New Roman"/>
                <w:color w:val="000000"/>
                <w:sz w:val="24"/>
                <w:szCs w:val="24"/>
              </w:rPr>
              <w:t>Razdjel: 460 UPRAVNI ODJEL ZA FINANCIJE, PRORAČUN I JAVNU NABAVU</w:t>
            </w:r>
          </w:p>
        </w:tc>
        <w:tc>
          <w:tcPr>
            <w:tcW w:w="2224" w:type="dxa"/>
            <w:shd w:val="clear" w:color="auto" w:fill="FFFFFF" w:themeFill="background1"/>
            <w:noWrap/>
          </w:tcPr>
          <w:p w14:paraId="0E8A691F" w14:textId="77777777" w:rsidR="007C0524" w:rsidRPr="00493E93" w:rsidRDefault="007C0524" w:rsidP="00FE51F5">
            <w:pPr>
              <w:ind w:firstLine="34"/>
              <w:jc w:val="right"/>
              <w:rPr>
                <w:rFonts w:ascii="Times New Roman" w:hAnsi="Times New Roman" w:cs="Times New Roman"/>
                <w:bCs/>
                <w:color w:val="000000"/>
                <w:sz w:val="24"/>
                <w:szCs w:val="24"/>
              </w:rPr>
            </w:pPr>
            <w:r w:rsidRPr="00493E93">
              <w:rPr>
                <w:rFonts w:ascii="Times New Roman" w:hAnsi="Times New Roman" w:cs="Times New Roman"/>
                <w:color w:val="000000"/>
                <w:sz w:val="24"/>
                <w:szCs w:val="24"/>
              </w:rPr>
              <w:t>11.090.612,00</w:t>
            </w:r>
          </w:p>
        </w:tc>
      </w:tr>
      <w:tr w:rsidR="007C0524" w:rsidRPr="00811FCA" w14:paraId="131F3F0B" w14:textId="77777777" w:rsidTr="00FE51F5">
        <w:trPr>
          <w:cnfStyle w:val="010000000000" w:firstRow="0" w:lastRow="1" w:firstColumn="0" w:lastColumn="0" w:oddVBand="0" w:evenVBand="0" w:oddHBand="0" w:evenHBand="0" w:firstRowFirstColumn="0" w:firstRowLastColumn="0" w:lastRowFirstColumn="0" w:lastRowLastColumn="0"/>
          <w:trHeight w:hRule="exact" w:val="284"/>
        </w:trPr>
        <w:tc>
          <w:tcPr>
            <w:tcW w:w="6884" w:type="dxa"/>
            <w:tcBorders>
              <w:top w:val="none" w:sz="0" w:space="0" w:color="auto"/>
            </w:tcBorders>
            <w:shd w:val="clear" w:color="auto" w:fill="FFFFFF" w:themeFill="background1"/>
            <w:noWrap/>
          </w:tcPr>
          <w:p w14:paraId="76DF7480" w14:textId="77777777" w:rsidR="007C0524" w:rsidRPr="00493E93" w:rsidRDefault="007C0524" w:rsidP="00FE51F5">
            <w:pPr>
              <w:rPr>
                <w:rFonts w:ascii="Times New Roman" w:hAnsi="Times New Roman" w:cs="Times New Roman"/>
                <w:bCs w:val="0"/>
                <w:color w:val="000000"/>
                <w:sz w:val="24"/>
                <w:szCs w:val="24"/>
              </w:rPr>
            </w:pPr>
            <w:r w:rsidRPr="00493E93">
              <w:rPr>
                <w:rFonts w:ascii="Times New Roman" w:hAnsi="Times New Roman" w:cs="Times New Roman"/>
                <w:color w:val="000000"/>
                <w:sz w:val="24"/>
                <w:szCs w:val="24"/>
              </w:rPr>
              <w:t>SVEUKUPNO</w:t>
            </w:r>
          </w:p>
        </w:tc>
        <w:tc>
          <w:tcPr>
            <w:tcW w:w="2224" w:type="dxa"/>
            <w:tcBorders>
              <w:top w:val="none" w:sz="0" w:space="0" w:color="auto"/>
            </w:tcBorders>
            <w:shd w:val="clear" w:color="auto" w:fill="FFFFFF" w:themeFill="background1"/>
            <w:noWrap/>
          </w:tcPr>
          <w:p w14:paraId="75853A6C" w14:textId="77777777" w:rsidR="007C0524" w:rsidRPr="00493E93" w:rsidRDefault="007C0524" w:rsidP="00FE51F5">
            <w:pPr>
              <w:ind w:firstLine="34"/>
              <w:jc w:val="right"/>
              <w:rPr>
                <w:rFonts w:ascii="Times New Roman" w:hAnsi="Times New Roman" w:cs="Times New Roman"/>
                <w:bCs w:val="0"/>
                <w:color w:val="000000"/>
                <w:sz w:val="24"/>
                <w:szCs w:val="24"/>
              </w:rPr>
            </w:pPr>
            <w:r w:rsidRPr="00493E93">
              <w:rPr>
                <w:rFonts w:ascii="Times New Roman" w:hAnsi="Times New Roman" w:cs="Times New Roman"/>
                <w:color w:val="000000"/>
                <w:sz w:val="24"/>
                <w:szCs w:val="24"/>
              </w:rPr>
              <w:t>112.515.644,19</w:t>
            </w:r>
          </w:p>
        </w:tc>
      </w:tr>
    </w:tbl>
    <w:p w14:paraId="30C23B93" w14:textId="77777777" w:rsidR="007C0524" w:rsidRDefault="007C0524" w:rsidP="007C0524"/>
    <w:p w14:paraId="2F5D7A38" w14:textId="77777777" w:rsidR="007C0524" w:rsidRPr="007C0524" w:rsidRDefault="007C0524" w:rsidP="007C0524">
      <w:pPr>
        <w:jc w:val="both"/>
        <w:rPr>
          <w:rFonts w:ascii="Times New Roman" w:hAnsi="Times New Roman" w:cs="Times New Roman"/>
          <w:bCs/>
          <w:sz w:val="24"/>
          <w:szCs w:val="24"/>
        </w:rPr>
      </w:pPr>
    </w:p>
    <w:tbl>
      <w:tblPr>
        <w:tblStyle w:val="Reetkatablice"/>
        <w:tblW w:w="8959" w:type="dxa"/>
        <w:tblInd w:w="108" w:type="dxa"/>
        <w:tblLook w:val="04A0" w:firstRow="1" w:lastRow="0" w:firstColumn="1" w:lastColumn="0" w:noHBand="0" w:noVBand="1"/>
      </w:tblPr>
      <w:tblGrid>
        <w:gridCol w:w="4536"/>
        <w:gridCol w:w="4423"/>
      </w:tblGrid>
      <w:tr w:rsidR="00D14A18" w:rsidRPr="00811FCA" w14:paraId="1F685890" w14:textId="77777777" w:rsidTr="00052228">
        <w:tc>
          <w:tcPr>
            <w:tcW w:w="4536" w:type="dxa"/>
            <w:tcBorders>
              <w:top w:val="single" w:sz="4" w:space="0" w:color="auto"/>
              <w:left w:val="single" w:sz="4" w:space="0" w:color="auto"/>
              <w:bottom w:val="single" w:sz="4" w:space="0" w:color="auto"/>
              <w:right w:val="single" w:sz="4" w:space="0" w:color="auto"/>
            </w:tcBorders>
          </w:tcPr>
          <w:p w14:paraId="3CCC7C9D" w14:textId="77777777" w:rsidR="00D14A18" w:rsidRPr="00811FCA" w:rsidRDefault="00D14A18" w:rsidP="00052228">
            <w:pPr>
              <w:pStyle w:val="Naslov1"/>
              <w:spacing w:line="349" w:lineRule="atLeast"/>
              <w:rPr>
                <w:rFonts w:ascii="Times New Roman" w:hAnsi="Times New Roman" w:cs="Times New Roman"/>
                <w:b/>
                <w:caps/>
                <w:color w:val="auto"/>
                <w:sz w:val="24"/>
                <w:szCs w:val="24"/>
              </w:rPr>
            </w:pPr>
            <w:r w:rsidRPr="00811FCA">
              <w:rPr>
                <w:rFonts w:ascii="Times New Roman" w:hAnsi="Times New Roman" w:cs="Times New Roman"/>
                <w:b/>
                <w:caps/>
                <w:color w:val="auto"/>
                <w:sz w:val="24"/>
                <w:szCs w:val="24"/>
              </w:rPr>
              <w:t>GRADSKE USTANOVE</w:t>
            </w:r>
          </w:p>
          <w:p w14:paraId="0BD57079"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3" w:history="1">
              <w:r w:rsidR="00D14A18" w:rsidRPr="00811FCA">
                <w:rPr>
                  <w:rStyle w:val="Hiperveza"/>
                  <w:rFonts w:ascii="Times New Roman" w:hAnsi="Times New Roman" w:cs="Times New Roman"/>
                  <w:color w:val="auto"/>
                  <w:sz w:val="24"/>
                  <w:szCs w:val="24"/>
                  <w:bdr w:val="none" w:sz="0" w:space="0" w:color="auto" w:frame="1"/>
                </w:rPr>
                <w:t>Dječji vrtić Varaždin</w:t>
              </w:r>
            </w:hyperlink>
          </w:p>
          <w:p w14:paraId="164898D8"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4" w:history="1">
              <w:r w:rsidR="00D14A18" w:rsidRPr="00811FCA">
                <w:rPr>
                  <w:rStyle w:val="Hiperveza"/>
                  <w:rFonts w:ascii="Times New Roman" w:hAnsi="Times New Roman" w:cs="Times New Roman"/>
                  <w:color w:val="auto"/>
                  <w:sz w:val="24"/>
                  <w:szCs w:val="24"/>
                  <w:bdr w:val="none" w:sz="0" w:space="0" w:color="auto" w:frame="1"/>
                </w:rPr>
                <w:t>Gradska knjižnica i čitaonica "</w:t>
              </w:r>
              <w:proofErr w:type="spellStart"/>
              <w:r w:rsidR="00D14A18" w:rsidRPr="00811FCA">
                <w:rPr>
                  <w:rStyle w:val="Hiperveza"/>
                  <w:rFonts w:ascii="Times New Roman" w:hAnsi="Times New Roman" w:cs="Times New Roman"/>
                  <w:color w:val="auto"/>
                  <w:sz w:val="24"/>
                  <w:szCs w:val="24"/>
                  <w:bdr w:val="none" w:sz="0" w:space="0" w:color="auto" w:frame="1"/>
                </w:rPr>
                <w:t>Metel</w:t>
              </w:r>
              <w:proofErr w:type="spellEnd"/>
              <w:r w:rsidR="00D14A18" w:rsidRPr="00811FCA">
                <w:rPr>
                  <w:rStyle w:val="Hiperveza"/>
                  <w:rFonts w:ascii="Times New Roman" w:hAnsi="Times New Roman" w:cs="Times New Roman"/>
                  <w:color w:val="auto"/>
                  <w:sz w:val="24"/>
                  <w:szCs w:val="24"/>
                  <w:bdr w:val="none" w:sz="0" w:space="0" w:color="auto" w:frame="1"/>
                </w:rPr>
                <w:t xml:space="preserve"> Ožegović" Varaždin</w:t>
              </w:r>
            </w:hyperlink>
          </w:p>
          <w:p w14:paraId="7A1C437F"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5" w:history="1">
              <w:r w:rsidR="00D14A18" w:rsidRPr="00811FCA">
                <w:rPr>
                  <w:rStyle w:val="Hiperveza"/>
                  <w:rFonts w:ascii="Times New Roman" w:hAnsi="Times New Roman" w:cs="Times New Roman"/>
                  <w:color w:val="auto"/>
                  <w:sz w:val="24"/>
                  <w:szCs w:val="24"/>
                  <w:bdr w:val="none" w:sz="0" w:space="0" w:color="auto" w:frame="1"/>
                </w:rPr>
                <w:t>Gradski muzej Varaždin</w:t>
              </w:r>
            </w:hyperlink>
          </w:p>
          <w:p w14:paraId="295665B6"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6" w:history="1">
              <w:r w:rsidR="00D14A18" w:rsidRPr="00811FCA">
                <w:rPr>
                  <w:rStyle w:val="Hiperveza"/>
                  <w:rFonts w:ascii="Times New Roman" w:hAnsi="Times New Roman" w:cs="Times New Roman"/>
                  <w:color w:val="auto"/>
                  <w:sz w:val="24"/>
                  <w:szCs w:val="24"/>
                  <w:bdr w:val="none" w:sz="0" w:space="0" w:color="auto" w:frame="1"/>
                </w:rPr>
                <w:t>Javna ustanova Gradski bazeni Varaždin</w:t>
              </w:r>
            </w:hyperlink>
          </w:p>
          <w:p w14:paraId="7288B348"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7" w:history="1">
              <w:r w:rsidR="00D14A18" w:rsidRPr="00811FCA">
                <w:rPr>
                  <w:rStyle w:val="Hiperveza"/>
                  <w:rFonts w:ascii="Times New Roman" w:hAnsi="Times New Roman" w:cs="Times New Roman"/>
                  <w:color w:val="auto"/>
                  <w:sz w:val="24"/>
                  <w:szCs w:val="24"/>
                  <w:bdr w:val="none" w:sz="0" w:space="0" w:color="auto" w:frame="1"/>
                </w:rPr>
                <w:t>Javna ustanova Gradski stanovi Varaždin</w:t>
              </w:r>
            </w:hyperlink>
          </w:p>
          <w:p w14:paraId="0152CBE5"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8" w:history="1">
              <w:r w:rsidR="00D14A18" w:rsidRPr="00811FCA">
                <w:rPr>
                  <w:rStyle w:val="Hiperveza"/>
                  <w:rFonts w:ascii="Times New Roman" w:hAnsi="Times New Roman" w:cs="Times New Roman"/>
                  <w:color w:val="auto"/>
                  <w:sz w:val="24"/>
                  <w:szCs w:val="24"/>
                  <w:bdr w:val="none" w:sz="0" w:space="0" w:color="auto" w:frame="1"/>
                </w:rPr>
                <w:t>HNK u Varaždinu</w:t>
              </w:r>
            </w:hyperlink>
          </w:p>
          <w:p w14:paraId="6064B1AF"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19" w:history="1">
              <w:r w:rsidR="00D14A18" w:rsidRPr="00811FCA">
                <w:rPr>
                  <w:rStyle w:val="Hiperveza"/>
                  <w:rFonts w:ascii="Times New Roman" w:hAnsi="Times New Roman" w:cs="Times New Roman"/>
                  <w:color w:val="auto"/>
                  <w:sz w:val="24"/>
                  <w:szCs w:val="24"/>
                  <w:bdr w:val="none" w:sz="0" w:space="0" w:color="auto" w:frame="1"/>
                </w:rPr>
                <w:t>Javna vatrogasna postrojba Grada Varaždina</w:t>
              </w:r>
            </w:hyperlink>
          </w:p>
          <w:p w14:paraId="120167D6"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20" w:history="1">
              <w:r w:rsidR="00D14A18" w:rsidRPr="00811FCA">
                <w:rPr>
                  <w:rStyle w:val="Hiperveza"/>
                  <w:rFonts w:ascii="Times New Roman" w:hAnsi="Times New Roman" w:cs="Times New Roman"/>
                  <w:color w:val="auto"/>
                  <w:sz w:val="24"/>
                  <w:szCs w:val="24"/>
                  <w:bdr w:val="none" w:sz="0" w:space="0" w:color="auto" w:frame="1"/>
                </w:rPr>
                <w:t>Koncertni ured Varaždin</w:t>
              </w:r>
            </w:hyperlink>
          </w:p>
          <w:p w14:paraId="5AF932D7"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21" w:history="1">
              <w:r w:rsidR="00D14A18" w:rsidRPr="00811FCA">
                <w:rPr>
                  <w:rStyle w:val="Hiperveza"/>
                  <w:rFonts w:ascii="Times New Roman" w:hAnsi="Times New Roman" w:cs="Times New Roman"/>
                  <w:color w:val="auto"/>
                  <w:sz w:val="24"/>
                  <w:szCs w:val="24"/>
                  <w:bdr w:val="none" w:sz="0" w:space="0" w:color="auto" w:frame="1"/>
                </w:rPr>
                <w:t>Pučko otvoreno učilište Varaždin</w:t>
              </w:r>
            </w:hyperlink>
          </w:p>
          <w:p w14:paraId="2520417E"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22" w:history="1">
              <w:r w:rsidR="00D14A18" w:rsidRPr="00811FCA">
                <w:rPr>
                  <w:rStyle w:val="Hiperveza"/>
                  <w:rFonts w:ascii="Times New Roman" w:hAnsi="Times New Roman" w:cs="Times New Roman"/>
                  <w:color w:val="auto"/>
                  <w:sz w:val="24"/>
                  <w:szCs w:val="24"/>
                  <w:bdr w:val="none" w:sz="0" w:space="0" w:color="auto" w:frame="1"/>
                </w:rPr>
                <w:t>Javna ustanova Regionalna Energetska Agencija Sjever Varaždin</w:t>
              </w:r>
            </w:hyperlink>
          </w:p>
          <w:p w14:paraId="617D3B04"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23" w:tgtFrame="_blank" w:history="1">
              <w:r w:rsidR="00D14A18" w:rsidRPr="00811FCA">
                <w:rPr>
                  <w:rStyle w:val="Hiperveza"/>
                  <w:rFonts w:ascii="Times New Roman" w:hAnsi="Times New Roman" w:cs="Times New Roman"/>
                  <w:color w:val="auto"/>
                  <w:sz w:val="24"/>
                  <w:szCs w:val="24"/>
                  <w:bdr w:val="none" w:sz="0" w:space="0" w:color="auto" w:frame="1"/>
                </w:rPr>
                <w:t>Centar za pružanje usluga u zajednici Varaždin</w:t>
              </w:r>
            </w:hyperlink>
          </w:p>
          <w:p w14:paraId="1C4DE3CB" w14:textId="77777777" w:rsidR="00D14A18" w:rsidRPr="00811FCA" w:rsidRDefault="00000000" w:rsidP="00D14A18">
            <w:pPr>
              <w:numPr>
                <w:ilvl w:val="0"/>
                <w:numId w:val="3"/>
              </w:numPr>
              <w:tabs>
                <w:tab w:val="clear" w:pos="720"/>
              </w:tabs>
              <w:ind w:left="634" w:hanging="284"/>
              <w:rPr>
                <w:rFonts w:ascii="Times New Roman" w:hAnsi="Times New Roman" w:cs="Times New Roman"/>
                <w:sz w:val="24"/>
                <w:szCs w:val="24"/>
              </w:rPr>
            </w:pPr>
            <w:hyperlink r:id="rId24" w:tgtFrame="_blank" w:history="1">
              <w:r w:rsidR="00D14A18" w:rsidRPr="00811FCA">
                <w:rPr>
                  <w:rStyle w:val="Hiperveza"/>
                  <w:rFonts w:ascii="Times New Roman" w:hAnsi="Times New Roman" w:cs="Times New Roman"/>
                  <w:color w:val="auto"/>
                  <w:sz w:val="24"/>
                  <w:szCs w:val="24"/>
                  <w:bdr w:val="none" w:sz="0" w:space="0" w:color="auto" w:frame="1"/>
                </w:rPr>
                <w:t>Dom za žrtve obiteljskog nasilja "Utočište Sveti Nikola"</w:t>
              </w:r>
            </w:hyperlink>
          </w:p>
          <w:p w14:paraId="7328A654" w14:textId="77777777" w:rsidR="00D14A18" w:rsidRPr="00811FCA" w:rsidRDefault="00D14A18" w:rsidP="00052228">
            <w:pPr>
              <w:pStyle w:val="Naslov1"/>
              <w:spacing w:line="349" w:lineRule="atLeast"/>
              <w:ind w:firstLine="851"/>
              <w:jc w:val="both"/>
              <w:rPr>
                <w:rFonts w:ascii="Times New Roman" w:hAnsi="Times New Roman" w:cs="Times New Roman"/>
                <w:b/>
                <w:caps/>
                <w:color w:val="auto"/>
                <w:sz w:val="24"/>
                <w:szCs w:val="24"/>
              </w:rPr>
            </w:pPr>
          </w:p>
        </w:tc>
        <w:tc>
          <w:tcPr>
            <w:tcW w:w="4423" w:type="dxa"/>
            <w:tcBorders>
              <w:top w:val="single" w:sz="4" w:space="0" w:color="auto"/>
              <w:left w:val="single" w:sz="4" w:space="0" w:color="auto"/>
              <w:bottom w:val="single" w:sz="4" w:space="0" w:color="auto"/>
              <w:right w:val="single" w:sz="4" w:space="0" w:color="auto"/>
            </w:tcBorders>
          </w:tcPr>
          <w:p w14:paraId="7981DE92" w14:textId="77777777" w:rsidR="00D14A18" w:rsidRPr="00811FCA" w:rsidRDefault="00D14A18" w:rsidP="00052228">
            <w:pPr>
              <w:pStyle w:val="Naslov1"/>
              <w:spacing w:line="349" w:lineRule="atLeast"/>
              <w:rPr>
                <w:rFonts w:ascii="Times New Roman" w:hAnsi="Times New Roman" w:cs="Times New Roman"/>
                <w:b/>
                <w:caps/>
                <w:color w:val="auto"/>
                <w:sz w:val="24"/>
                <w:szCs w:val="24"/>
              </w:rPr>
            </w:pPr>
            <w:r w:rsidRPr="00811FCA">
              <w:rPr>
                <w:rFonts w:ascii="Times New Roman" w:hAnsi="Times New Roman" w:cs="Times New Roman"/>
                <w:b/>
                <w:caps/>
                <w:color w:val="auto"/>
                <w:sz w:val="24"/>
                <w:szCs w:val="24"/>
              </w:rPr>
              <w:t>GRADSKE TVRTKE</w:t>
            </w:r>
          </w:p>
          <w:p w14:paraId="06448333"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25" w:history="1">
              <w:proofErr w:type="spellStart"/>
              <w:r w:rsidR="00D14A18" w:rsidRPr="00811FCA">
                <w:rPr>
                  <w:rStyle w:val="Hiperveza"/>
                  <w:rFonts w:ascii="Times New Roman" w:hAnsi="Times New Roman" w:cs="Times New Roman"/>
                  <w:color w:val="auto"/>
                  <w:sz w:val="24"/>
                  <w:szCs w:val="24"/>
                  <w:bdr w:val="none" w:sz="0" w:space="0" w:color="auto" w:frame="1"/>
                </w:rPr>
                <w:t>Aquacity</w:t>
              </w:r>
              <w:proofErr w:type="spellEnd"/>
              <w:r w:rsidR="00D14A18" w:rsidRPr="00811FCA">
                <w:rPr>
                  <w:rStyle w:val="Hiperveza"/>
                  <w:rFonts w:ascii="Times New Roman" w:hAnsi="Times New Roman" w:cs="Times New Roman"/>
                  <w:color w:val="auto"/>
                  <w:sz w:val="24"/>
                  <w:szCs w:val="24"/>
                  <w:bdr w:val="none" w:sz="0" w:space="0" w:color="auto" w:frame="1"/>
                </w:rPr>
                <w:t xml:space="preserve"> d.o.o.</w:t>
              </w:r>
            </w:hyperlink>
          </w:p>
          <w:p w14:paraId="0D69EE42"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26" w:history="1">
              <w:r w:rsidR="00D14A18" w:rsidRPr="00811FCA">
                <w:rPr>
                  <w:rStyle w:val="Hiperveza"/>
                  <w:rFonts w:ascii="Times New Roman" w:hAnsi="Times New Roman" w:cs="Times New Roman"/>
                  <w:color w:val="auto"/>
                  <w:sz w:val="24"/>
                  <w:szCs w:val="24"/>
                  <w:bdr w:val="none" w:sz="0" w:space="0" w:color="auto" w:frame="1"/>
                </w:rPr>
                <w:t>Čistoća d.o.o.</w:t>
              </w:r>
            </w:hyperlink>
          </w:p>
          <w:p w14:paraId="33E60C54"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27" w:history="1">
              <w:r w:rsidR="00D14A18" w:rsidRPr="00811FCA">
                <w:rPr>
                  <w:rStyle w:val="Hiperveza"/>
                  <w:rFonts w:ascii="Times New Roman" w:hAnsi="Times New Roman" w:cs="Times New Roman"/>
                  <w:color w:val="auto"/>
                  <w:sz w:val="24"/>
                  <w:szCs w:val="24"/>
                  <w:bdr w:val="none" w:sz="0" w:space="0" w:color="auto" w:frame="1"/>
                </w:rPr>
                <w:t>Gradska tržnica d.o.o.</w:t>
              </w:r>
            </w:hyperlink>
          </w:p>
          <w:p w14:paraId="1B73CEC1"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28" w:history="1">
              <w:r w:rsidR="00D14A18" w:rsidRPr="00811FCA">
                <w:rPr>
                  <w:rStyle w:val="Hiperveza"/>
                  <w:rFonts w:ascii="Times New Roman" w:hAnsi="Times New Roman" w:cs="Times New Roman"/>
                  <w:color w:val="auto"/>
                  <w:sz w:val="24"/>
                  <w:szCs w:val="24"/>
                  <w:bdr w:val="none" w:sz="0" w:space="0" w:color="auto" w:frame="1"/>
                </w:rPr>
                <w:t>Parkovi d.o.o.</w:t>
              </w:r>
            </w:hyperlink>
          </w:p>
          <w:p w14:paraId="44CF8C98"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29" w:history="1">
              <w:r w:rsidR="00D14A18" w:rsidRPr="00811FCA">
                <w:rPr>
                  <w:rStyle w:val="Hiperveza"/>
                  <w:rFonts w:ascii="Times New Roman" w:hAnsi="Times New Roman" w:cs="Times New Roman"/>
                  <w:color w:val="auto"/>
                  <w:sz w:val="24"/>
                  <w:szCs w:val="24"/>
                  <w:bdr w:val="none" w:sz="0" w:space="0" w:color="auto" w:frame="1"/>
                </w:rPr>
                <w:t>Razvojna agencija sjever DAN d.o.o.</w:t>
              </w:r>
            </w:hyperlink>
          </w:p>
          <w:p w14:paraId="69516BD2"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0" w:history="1">
              <w:r w:rsidR="00D14A18" w:rsidRPr="00811FCA">
                <w:rPr>
                  <w:rStyle w:val="Hiperveza"/>
                  <w:rFonts w:ascii="Times New Roman" w:hAnsi="Times New Roman" w:cs="Times New Roman"/>
                  <w:color w:val="auto"/>
                  <w:sz w:val="24"/>
                  <w:szCs w:val="24"/>
                  <w:bdr w:val="none" w:sz="0" w:space="0" w:color="auto" w:frame="1"/>
                </w:rPr>
                <w:t>Tehnološki park Varaždin d.o.o.</w:t>
              </w:r>
            </w:hyperlink>
          </w:p>
          <w:p w14:paraId="73A257DD"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1" w:history="1">
              <w:r w:rsidR="00D14A18" w:rsidRPr="00811FCA">
                <w:rPr>
                  <w:rStyle w:val="Hiperveza"/>
                  <w:rFonts w:ascii="Times New Roman" w:hAnsi="Times New Roman" w:cs="Times New Roman"/>
                  <w:color w:val="auto"/>
                  <w:sz w:val="24"/>
                  <w:szCs w:val="24"/>
                  <w:bdr w:val="none" w:sz="0" w:space="0" w:color="auto" w:frame="1"/>
                </w:rPr>
                <w:t>Termoplin d.d.</w:t>
              </w:r>
            </w:hyperlink>
          </w:p>
          <w:p w14:paraId="3611ADCD"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2" w:history="1">
              <w:r w:rsidR="00D14A18" w:rsidRPr="00811FCA">
                <w:rPr>
                  <w:rStyle w:val="Hiperveza"/>
                  <w:rFonts w:ascii="Times New Roman" w:hAnsi="Times New Roman" w:cs="Times New Roman"/>
                  <w:color w:val="auto"/>
                  <w:sz w:val="24"/>
                  <w:szCs w:val="24"/>
                  <w:bdr w:val="none" w:sz="0" w:space="0" w:color="auto" w:frame="1"/>
                </w:rPr>
                <w:t xml:space="preserve">Varaždin </w:t>
              </w:r>
              <w:proofErr w:type="spellStart"/>
              <w:r w:rsidR="00D14A18" w:rsidRPr="00811FCA">
                <w:rPr>
                  <w:rStyle w:val="Hiperveza"/>
                  <w:rFonts w:ascii="Times New Roman" w:hAnsi="Times New Roman" w:cs="Times New Roman"/>
                  <w:color w:val="auto"/>
                  <w:sz w:val="24"/>
                  <w:szCs w:val="24"/>
                  <w:bdr w:val="none" w:sz="0" w:space="0" w:color="auto" w:frame="1"/>
                </w:rPr>
                <w:t>Airport</w:t>
              </w:r>
              <w:proofErr w:type="spellEnd"/>
              <w:r w:rsidR="00D14A18" w:rsidRPr="00811FCA">
                <w:rPr>
                  <w:rStyle w:val="Hiperveza"/>
                  <w:rFonts w:ascii="Times New Roman" w:hAnsi="Times New Roman" w:cs="Times New Roman"/>
                  <w:color w:val="auto"/>
                  <w:sz w:val="24"/>
                  <w:szCs w:val="24"/>
                  <w:bdr w:val="none" w:sz="0" w:space="0" w:color="auto" w:frame="1"/>
                </w:rPr>
                <w:t xml:space="preserve"> d.o.o. "u stečaju"</w:t>
              </w:r>
            </w:hyperlink>
          </w:p>
          <w:p w14:paraId="5F455655"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3" w:history="1">
              <w:r w:rsidR="00D14A18" w:rsidRPr="00811FCA">
                <w:rPr>
                  <w:rStyle w:val="Hiperveza"/>
                  <w:rFonts w:ascii="Times New Roman" w:hAnsi="Times New Roman" w:cs="Times New Roman"/>
                  <w:color w:val="auto"/>
                  <w:sz w:val="24"/>
                  <w:szCs w:val="24"/>
                  <w:bdr w:val="none" w:sz="0" w:space="0" w:color="auto" w:frame="1"/>
                </w:rPr>
                <w:t>Varaždinske vijesti d.d.</w:t>
              </w:r>
            </w:hyperlink>
          </w:p>
          <w:p w14:paraId="020DD1F3"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4" w:history="1">
              <w:r w:rsidR="00D14A18" w:rsidRPr="00811FCA">
                <w:rPr>
                  <w:rStyle w:val="Hiperveza"/>
                  <w:rFonts w:ascii="Times New Roman" w:hAnsi="Times New Roman" w:cs="Times New Roman"/>
                  <w:color w:val="auto"/>
                  <w:sz w:val="24"/>
                  <w:szCs w:val="24"/>
                  <w:bdr w:val="none" w:sz="0" w:space="0" w:color="auto" w:frame="1"/>
                </w:rPr>
                <w:t>Varkom d.d.</w:t>
              </w:r>
            </w:hyperlink>
          </w:p>
          <w:p w14:paraId="673C0D4C"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5" w:history="1">
              <w:proofErr w:type="spellStart"/>
              <w:r w:rsidR="00D14A18" w:rsidRPr="00811FCA">
                <w:rPr>
                  <w:rStyle w:val="Hiperveza"/>
                  <w:rFonts w:ascii="Times New Roman" w:hAnsi="Times New Roman" w:cs="Times New Roman"/>
                  <w:color w:val="auto"/>
                  <w:sz w:val="24"/>
                  <w:szCs w:val="24"/>
                  <w:bdr w:val="none" w:sz="0" w:space="0" w:color="auto" w:frame="1"/>
                </w:rPr>
                <w:t>Vartop</w:t>
              </w:r>
              <w:proofErr w:type="spellEnd"/>
              <w:r w:rsidR="00D14A18" w:rsidRPr="00811FCA">
                <w:rPr>
                  <w:rStyle w:val="Hiperveza"/>
                  <w:rFonts w:ascii="Times New Roman" w:hAnsi="Times New Roman" w:cs="Times New Roman"/>
                  <w:color w:val="auto"/>
                  <w:sz w:val="24"/>
                  <w:szCs w:val="24"/>
                  <w:bdr w:val="none" w:sz="0" w:space="0" w:color="auto" w:frame="1"/>
                </w:rPr>
                <w:t xml:space="preserve"> d.o.o.</w:t>
              </w:r>
            </w:hyperlink>
          </w:p>
          <w:p w14:paraId="05D71B65" w14:textId="77777777" w:rsidR="00D14A18" w:rsidRPr="00811FCA" w:rsidRDefault="00000000" w:rsidP="00D14A18">
            <w:pPr>
              <w:numPr>
                <w:ilvl w:val="0"/>
                <w:numId w:val="4"/>
              </w:numPr>
              <w:ind w:left="317" w:firstLine="0"/>
              <w:rPr>
                <w:rFonts w:ascii="Times New Roman" w:hAnsi="Times New Roman" w:cs="Times New Roman"/>
                <w:sz w:val="24"/>
                <w:szCs w:val="24"/>
              </w:rPr>
            </w:pPr>
            <w:hyperlink r:id="rId36" w:tgtFrame="_blank" w:history="1">
              <w:r w:rsidR="00D14A18" w:rsidRPr="00811FCA">
                <w:rPr>
                  <w:rStyle w:val="Hiperveza"/>
                  <w:rFonts w:ascii="Times New Roman" w:hAnsi="Times New Roman" w:cs="Times New Roman"/>
                  <w:color w:val="auto"/>
                  <w:sz w:val="24"/>
                  <w:szCs w:val="24"/>
                  <w:bdr w:val="none" w:sz="0" w:space="0" w:color="auto" w:frame="1"/>
                </w:rPr>
                <w:t>Zona Sjever d.o.o.</w:t>
              </w:r>
            </w:hyperlink>
          </w:p>
          <w:p w14:paraId="2842A2B2" w14:textId="77777777" w:rsidR="00D14A18" w:rsidRPr="00811FCA" w:rsidRDefault="00D14A18" w:rsidP="00052228">
            <w:pPr>
              <w:pStyle w:val="Naslov1"/>
              <w:spacing w:line="349" w:lineRule="atLeast"/>
              <w:ind w:firstLine="851"/>
              <w:jc w:val="both"/>
              <w:rPr>
                <w:rFonts w:ascii="Times New Roman" w:hAnsi="Times New Roman" w:cs="Times New Roman"/>
                <w:b/>
                <w:caps/>
                <w:color w:val="auto"/>
                <w:sz w:val="24"/>
                <w:szCs w:val="24"/>
              </w:rPr>
            </w:pPr>
          </w:p>
        </w:tc>
      </w:tr>
    </w:tbl>
    <w:p w14:paraId="011A543F" w14:textId="77777777" w:rsidR="00D14A18" w:rsidRDefault="00D14A18" w:rsidP="00D14A18">
      <w:pPr>
        <w:keepNext/>
        <w:keepLines/>
        <w:spacing w:before="200"/>
        <w:outlineLvl w:val="1"/>
        <w:rPr>
          <w:rFonts w:ascii="Times New Roman" w:eastAsiaTheme="majorEastAsia" w:hAnsi="Times New Roman" w:cs="Times New Roman"/>
          <w:b/>
          <w:bCs/>
          <w:sz w:val="22"/>
          <w:szCs w:val="22"/>
        </w:rPr>
      </w:pPr>
      <w:bookmarkStart w:id="1" w:name="_Hlk158617439"/>
    </w:p>
    <w:p w14:paraId="14F153C1" w14:textId="77777777" w:rsidR="00D14A18" w:rsidRDefault="00D14A18"/>
    <w:bookmarkEnd w:id="1"/>
    <w:p w14:paraId="301BDAD7" w14:textId="77777777" w:rsidR="00D14A18" w:rsidRDefault="00D14A18"/>
    <w:p w14:paraId="1345249C" w14:textId="77777777" w:rsidR="00D14A18" w:rsidRDefault="00D14A18"/>
    <w:p w14:paraId="5BDD81A5" w14:textId="77777777" w:rsidR="00D14A18" w:rsidRDefault="00D14A18"/>
    <w:p w14:paraId="788783C0" w14:textId="77777777" w:rsidR="00D14A18" w:rsidRDefault="00D14A18"/>
    <w:p w14:paraId="15BEE527" w14:textId="77777777" w:rsidR="00D14A18" w:rsidRDefault="00D14A18"/>
    <w:p w14:paraId="0EE70993" w14:textId="77777777" w:rsidR="00D14A18" w:rsidRDefault="00D14A18"/>
    <w:p w14:paraId="1DAF072B" w14:textId="77777777" w:rsidR="00D14A18" w:rsidRDefault="00D14A18"/>
    <w:p w14:paraId="08653D65" w14:textId="77777777" w:rsidR="00D14A18" w:rsidRDefault="00D14A18"/>
    <w:p w14:paraId="6F99595C" w14:textId="77777777" w:rsidR="00D14A18" w:rsidRDefault="00D14A18"/>
    <w:p w14:paraId="267C23CB" w14:textId="77777777" w:rsidR="00D14A18" w:rsidRDefault="00D14A18"/>
    <w:p w14:paraId="5E4E5059" w14:textId="77777777" w:rsidR="00D14A18" w:rsidRDefault="00D14A18"/>
    <w:p w14:paraId="63B3C49C" w14:textId="77777777" w:rsidR="00D14A18" w:rsidRDefault="00D14A18"/>
    <w:p w14:paraId="1858F43E" w14:textId="77777777" w:rsidR="00D14A18" w:rsidRDefault="00D14A18"/>
    <w:p w14:paraId="04373045" w14:textId="77777777" w:rsidR="00D14A18" w:rsidRDefault="00D14A18" w:rsidP="00D14A18">
      <w:pPr>
        <w:keepNext/>
        <w:keepLines/>
        <w:spacing w:before="200"/>
        <w:outlineLvl w:val="1"/>
        <w:rPr>
          <w:rFonts w:ascii="Times New Roman" w:eastAsiaTheme="majorEastAsia" w:hAnsi="Times New Roman" w:cs="Times New Roman"/>
          <w:b/>
          <w:bCs/>
          <w:sz w:val="22"/>
          <w:szCs w:val="22"/>
        </w:rPr>
      </w:pPr>
      <w:r>
        <w:rPr>
          <w:rFonts w:ascii="Times New Roman" w:eastAsiaTheme="majorEastAsia" w:hAnsi="Times New Roman" w:cs="Times New Roman"/>
          <w:b/>
          <w:bCs/>
          <w:sz w:val="22"/>
          <w:szCs w:val="22"/>
        </w:rPr>
        <w:t xml:space="preserve">PRIJEDLOGE I PRIMJEDBE NA PRORAČUN GRADA VARAŽDINA ZA 2024.  GODINE I PROJEKCIJE ZA 2025. I 2026. GODINU MOŽETE DATI PUTEM OBRASCA OBJAVLJENOG NA </w:t>
      </w:r>
      <w:hyperlink r:id="rId37" w:history="1">
        <w:r w:rsidRPr="00C158B3">
          <w:rPr>
            <w:color w:val="0000FF"/>
            <w:u w:val="single"/>
          </w:rPr>
          <w:t>Proračunski dokumenti (varazdin.hr)</w:t>
        </w:r>
      </w:hyperlink>
    </w:p>
    <w:p w14:paraId="54438B40" w14:textId="77777777" w:rsidR="00D14A18" w:rsidRDefault="00D14A18" w:rsidP="00D14A18">
      <w:pPr>
        <w:keepNext/>
        <w:keepLines/>
        <w:spacing w:before="200"/>
        <w:outlineLvl w:val="1"/>
        <w:rPr>
          <w:rFonts w:ascii="Times New Roman" w:eastAsiaTheme="majorEastAsia" w:hAnsi="Times New Roman" w:cs="Times New Roman"/>
          <w:b/>
          <w:bCs/>
          <w:sz w:val="22"/>
          <w:szCs w:val="22"/>
        </w:rPr>
      </w:pPr>
    </w:p>
    <w:p w14:paraId="3E41FB54" w14:textId="77777777" w:rsidR="00D14A18" w:rsidRDefault="00D14A18" w:rsidP="00D14A18">
      <w:pPr>
        <w:keepNext/>
        <w:keepLines/>
        <w:spacing w:before="200"/>
        <w:outlineLvl w:val="1"/>
        <w:rPr>
          <w:rFonts w:ascii="Times New Roman" w:eastAsiaTheme="majorEastAsia" w:hAnsi="Times New Roman" w:cs="Times New Roman"/>
          <w:b/>
          <w:bCs/>
          <w:sz w:val="22"/>
          <w:szCs w:val="22"/>
        </w:rPr>
      </w:pPr>
    </w:p>
    <w:p w14:paraId="0453A0A2" w14:textId="13342557" w:rsidR="00D14A18" w:rsidRDefault="00D14A18" w:rsidP="00D14A18">
      <w:pPr>
        <w:keepNext/>
        <w:keepLines/>
        <w:spacing w:before="200"/>
        <w:outlineLvl w:val="1"/>
        <w:rPr>
          <w:rFonts w:ascii="Times New Roman" w:eastAsiaTheme="majorEastAsia" w:hAnsi="Times New Roman" w:cs="Times New Roman"/>
          <w:b/>
          <w:bCs/>
          <w:sz w:val="22"/>
          <w:szCs w:val="22"/>
        </w:rPr>
      </w:pPr>
    </w:p>
    <w:p w14:paraId="17461589" w14:textId="56DA5E5F" w:rsidR="00D14A18" w:rsidRDefault="007C0524" w:rsidP="00D14A18">
      <w:pPr>
        <w:keepNext/>
        <w:keepLines/>
        <w:spacing w:before="200"/>
        <w:outlineLvl w:val="1"/>
        <w:rPr>
          <w:rFonts w:ascii="Times New Roman" w:eastAsiaTheme="majorEastAsia" w:hAnsi="Times New Roman" w:cs="Times New Roman"/>
          <w:b/>
          <w:bCs/>
          <w:sz w:val="22"/>
          <w:szCs w:val="22"/>
        </w:rPr>
      </w:pPr>
      <w:r>
        <w:rPr>
          <w:noProof/>
        </w:rPr>
        <w:drawing>
          <wp:inline distT="0" distB="0" distL="0" distR="0" wp14:anchorId="12633CE1" wp14:editId="3CD7CBB8">
            <wp:extent cx="5760720" cy="3245206"/>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0720" cy="3245206"/>
                    </a:xfrm>
                    <a:prstGeom prst="rect">
                      <a:avLst/>
                    </a:prstGeom>
                    <a:noFill/>
                    <a:ln>
                      <a:noFill/>
                    </a:ln>
                  </pic:spPr>
                </pic:pic>
              </a:graphicData>
            </a:graphic>
          </wp:inline>
        </w:drawing>
      </w:r>
    </w:p>
    <w:p w14:paraId="76B4E276" w14:textId="77777777" w:rsidR="00D14A18" w:rsidRDefault="00D14A18" w:rsidP="00D14A18">
      <w:pPr>
        <w:keepNext/>
        <w:keepLines/>
        <w:spacing w:before="200"/>
        <w:outlineLvl w:val="1"/>
        <w:rPr>
          <w:rFonts w:ascii="Times New Roman" w:eastAsiaTheme="majorEastAsia" w:hAnsi="Times New Roman" w:cs="Times New Roman"/>
          <w:b/>
          <w:bCs/>
          <w:sz w:val="22"/>
          <w:szCs w:val="22"/>
        </w:rPr>
      </w:pPr>
    </w:p>
    <w:p w14:paraId="1460C3D4" w14:textId="77777777" w:rsidR="00D14A18" w:rsidRPr="00D14A18" w:rsidRDefault="00D14A18" w:rsidP="00D14A18">
      <w:pPr>
        <w:keepNext/>
        <w:keepLines/>
        <w:spacing w:before="200"/>
        <w:outlineLvl w:val="1"/>
        <w:rPr>
          <w:rFonts w:ascii="Times New Roman" w:eastAsiaTheme="majorEastAsia" w:hAnsi="Times New Roman" w:cs="Times New Roman"/>
          <w:b/>
          <w:bCs/>
          <w:sz w:val="24"/>
          <w:szCs w:val="24"/>
        </w:rPr>
      </w:pPr>
    </w:p>
    <w:p w14:paraId="5F455256" w14:textId="77777777" w:rsidR="00D14A18" w:rsidRPr="00D14A18" w:rsidRDefault="00D14A18" w:rsidP="00D14A18">
      <w:pPr>
        <w:pStyle w:val="Naslov4"/>
        <w:shd w:val="clear" w:color="auto" w:fill="FFFFFF"/>
        <w:spacing w:before="0" w:line="207" w:lineRule="atLeast"/>
        <w:rPr>
          <w:rFonts w:ascii="Times New Roman" w:hAnsi="Times New Roman" w:cs="Times New Roman"/>
          <w:caps/>
          <w:color w:val="7030A0"/>
          <w:sz w:val="24"/>
          <w:szCs w:val="24"/>
        </w:rPr>
      </w:pPr>
      <w:r w:rsidRPr="00D14A18">
        <w:rPr>
          <w:rFonts w:ascii="Times New Roman" w:hAnsi="Times New Roman" w:cs="Times New Roman"/>
          <w:caps/>
          <w:color w:val="7030A0"/>
          <w:sz w:val="24"/>
          <w:szCs w:val="24"/>
        </w:rPr>
        <w:t>KONTAKT</w:t>
      </w:r>
    </w:p>
    <w:p w14:paraId="0174A189" w14:textId="77777777" w:rsidR="00D14A18" w:rsidRPr="00D14A18" w:rsidRDefault="00D14A18" w:rsidP="00D14A18">
      <w:pPr>
        <w:rPr>
          <w:rFonts w:ascii="Times New Roman" w:hAnsi="Times New Roman" w:cs="Times New Roman"/>
          <w:sz w:val="24"/>
          <w:szCs w:val="24"/>
        </w:rPr>
      </w:pPr>
    </w:p>
    <w:p w14:paraId="7265B4A5" w14:textId="77777777" w:rsidR="00D14A18" w:rsidRPr="00D14A18" w:rsidRDefault="00D14A18" w:rsidP="00D14A18">
      <w:pPr>
        <w:rPr>
          <w:rFonts w:ascii="Times New Roman" w:hAnsi="Times New Roman" w:cs="Times New Roman"/>
          <w:sz w:val="24"/>
          <w:szCs w:val="24"/>
        </w:rPr>
      </w:pPr>
      <w:r w:rsidRPr="00D14A18">
        <w:rPr>
          <w:rFonts w:ascii="Times New Roman" w:hAnsi="Times New Roman" w:cs="Times New Roman"/>
          <w:sz w:val="24"/>
          <w:szCs w:val="24"/>
        </w:rPr>
        <w:t>Grad Varaždin</w:t>
      </w:r>
    </w:p>
    <w:p w14:paraId="42D020C4" w14:textId="77777777" w:rsidR="00D14A18" w:rsidRPr="00D14A18" w:rsidRDefault="00D14A18" w:rsidP="00D14A18">
      <w:pPr>
        <w:pStyle w:val="StandardWeb"/>
        <w:shd w:val="clear" w:color="auto" w:fill="FFFFFF"/>
        <w:spacing w:before="0" w:beforeAutospacing="0" w:after="0" w:afterAutospacing="0"/>
        <w:rPr>
          <w:color w:val="000000"/>
        </w:rPr>
      </w:pPr>
      <w:r w:rsidRPr="00D14A18">
        <w:rPr>
          <w:color w:val="000000"/>
        </w:rPr>
        <w:t>Trg kralja Tomislava 1</w:t>
      </w:r>
      <w:r w:rsidRPr="00D14A18">
        <w:rPr>
          <w:color w:val="000000"/>
        </w:rPr>
        <w:br/>
        <w:t>42000 Varaždin</w:t>
      </w:r>
    </w:p>
    <w:p w14:paraId="4585EA20" w14:textId="77777777" w:rsidR="00D14A18" w:rsidRPr="00D14A18" w:rsidRDefault="00D14A18" w:rsidP="00D14A18">
      <w:pPr>
        <w:pStyle w:val="StandardWeb"/>
        <w:shd w:val="clear" w:color="auto" w:fill="FFFFFF"/>
        <w:spacing w:before="0" w:beforeAutospacing="0" w:after="0" w:afterAutospacing="0"/>
        <w:rPr>
          <w:color w:val="000000"/>
        </w:rPr>
      </w:pPr>
      <w:r w:rsidRPr="00D14A18">
        <w:rPr>
          <w:rStyle w:val="Naglaeno"/>
          <w:color w:val="000000"/>
          <w:bdr w:val="none" w:sz="0" w:space="0" w:color="auto" w:frame="1"/>
        </w:rPr>
        <w:t>OIB:</w:t>
      </w:r>
      <w:r w:rsidRPr="00D14A18">
        <w:rPr>
          <w:color w:val="000000"/>
        </w:rPr>
        <w:t> 13269011531</w:t>
      </w:r>
      <w:r w:rsidRPr="00D14A18">
        <w:rPr>
          <w:color w:val="000000"/>
        </w:rPr>
        <w:br/>
      </w:r>
      <w:r w:rsidRPr="00D14A18">
        <w:rPr>
          <w:rStyle w:val="Naglaeno"/>
          <w:color w:val="000000"/>
          <w:bdr w:val="none" w:sz="0" w:space="0" w:color="auto" w:frame="1"/>
        </w:rPr>
        <w:t>MB:</w:t>
      </w:r>
      <w:r w:rsidRPr="00D14A18">
        <w:rPr>
          <w:color w:val="000000"/>
        </w:rPr>
        <w:t> 2655977</w:t>
      </w:r>
    </w:p>
    <w:p w14:paraId="3D73AF2F" w14:textId="77777777" w:rsidR="00D14A18" w:rsidRPr="00D14A18" w:rsidRDefault="00D14A18" w:rsidP="00D14A18">
      <w:pPr>
        <w:pStyle w:val="StandardWeb"/>
        <w:shd w:val="clear" w:color="auto" w:fill="FFFFFF"/>
        <w:spacing w:before="0" w:beforeAutospacing="0" w:after="0" w:afterAutospacing="0"/>
        <w:rPr>
          <w:color w:val="000000"/>
        </w:rPr>
      </w:pPr>
      <w:r w:rsidRPr="00D14A18">
        <w:rPr>
          <w:color w:val="000000"/>
        </w:rPr>
        <w:t>Ovlaštena osoba</w:t>
      </w:r>
      <w:r w:rsidRPr="00D14A18">
        <w:rPr>
          <w:color w:val="000000"/>
        </w:rPr>
        <w:br/>
        <w:t>Neven Bosilj, gradonačelnik Grada Varaždina</w:t>
      </w:r>
    </w:p>
    <w:p w14:paraId="1A146496" w14:textId="77777777" w:rsidR="00D14A18" w:rsidRPr="006E3815" w:rsidRDefault="00D14A18" w:rsidP="00D14A18">
      <w:pPr>
        <w:rPr>
          <w:rFonts w:ascii="Times New Roman" w:hAnsi="Times New Roman" w:cs="Times New Roman"/>
          <w:b/>
          <w:noProof/>
          <w:sz w:val="24"/>
          <w:szCs w:val="24"/>
          <w:lang w:eastAsia="hr-HR"/>
        </w:rPr>
      </w:pPr>
    </w:p>
    <w:p w14:paraId="0B69464D" w14:textId="77777777" w:rsidR="00D14A18" w:rsidRDefault="00D14A18"/>
    <w:p w14:paraId="22A7DD79" w14:textId="77777777" w:rsidR="00D14A18" w:rsidRDefault="00D14A18"/>
    <w:sectPr w:rsidR="00D14A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tilliumWeb-Regular">
    <w:altName w:val="Calibri"/>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78E"/>
    <w:multiLevelType w:val="hybridMultilevel"/>
    <w:tmpl w:val="37BEC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5D36F7"/>
    <w:multiLevelType w:val="multilevel"/>
    <w:tmpl w:val="CD001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7C2ACC"/>
    <w:multiLevelType w:val="hybridMultilevel"/>
    <w:tmpl w:val="2DB4CE22"/>
    <w:lvl w:ilvl="0" w:tplc="A49466C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DD10207"/>
    <w:multiLevelType w:val="multilevel"/>
    <w:tmpl w:val="F90AA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8112323">
    <w:abstractNumId w:val="0"/>
  </w:num>
  <w:num w:numId="2" w16cid:durableId="1684287197">
    <w:abstractNumId w:val="2"/>
  </w:num>
  <w:num w:numId="3" w16cid:durableId="1013537230">
    <w:abstractNumId w:val="3"/>
  </w:num>
  <w:num w:numId="4" w16cid:durableId="237519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A18"/>
    <w:rsid w:val="007C0524"/>
    <w:rsid w:val="00AD2590"/>
    <w:rsid w:val="00C61EBA"/>
    <w:rsid w:val="00C80B65"/>
    <w:rsid w:val="00D14A18"/>
    <w:rsid w:val="00DC496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2AF32"/>
  <w15:chartTrackingRefBased/>
  <w15:docId w15:val="{4D67075B-90EA-4AE8-A85E-DDF39077C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524"/>
    <w:pPr>
      <w:spacing w:after="120" w:line="264" w:lineRule="auto"/>
    </w:pPr>
    <w:rPr>
      <w:rFonts w:eastAsiaTheme="minorEastAsia"/>
      <w:kern w:val="0"/>
      <w:sz w:val="20"/>
      <w:szCs w:val="20"/>
      <w14:ligatures w14:val="none"/>
    </w:rPr>
  </w:style>
  <w:style w:type="paragraph" w:styleId="Naslov1">
    <w:name w:val="heading 1"/>
    <w:basedOn w:val="Normal"/>
    <w:next w:val="Normal"/>
    <w:link w:val="Naslov1Char"/>
    <w:uiPriority w:val="9"/>
    <w:qFormat/>
    <w:rsid w:val="00D14A1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D14A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4">
    <w:name w:val="heading 4"/>
    <w:basedOn w:val="Normal"/>
    <w:next w:val="Normal"/>
    <w:link w:val="Naslov4Char"/>
    <w:uiPriority w:val="9"/>
    <w:semiHidden/>
    <w:unhideWhenUsed/>
    <w:qFormat/>
    <w:rsid w:val="00D14A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14A18"/>
    <w:rPr>
      <w:rFonts w:asciiTheme="majorHAnsi" w:eastAsiaTheme="majorEastAsia" w:hAnsiTheme="majorHAnsi" w:cstheme="majorBidi"/>
      <w:color w:val="2F5496" w:themeColor="accent1" w:themeShade="BF"/>
      <w:kern w:val="0"/>
      <w:sz w:val="32"/>
      <w:szCs w:val="32"/>
      <w14:ligatures w14:val="none"/>
    </w:rPr>
  </w:style>
  <w:style w:type="character" w:customStyle="1" w:styleId="Naslov2Char">
    <w:name w:val="Naslov 2 Char"/>
    <w:basedOn w:val="Zadanifontodlomka"/>
    <w:link w:val="Naslov2"/>
    <w:uiPriority w:val="9"/>
    <w:rsid w:val="00D14A18"/>
    <w:rPr>
      <w:rFonts w:asciiTheme="majorHAnsi" w:eastAsiaTheme="majorEastAsia" w:hAnsiTheme="majorHAnsi" w:cstheme="majorBidi"/>
      <w:color w:val="404040" w:themeColor="text1" w:themeTint="BF"/>
      <w:kern w:val="0"/>
      <w:sz w:val="28"/>
      <w:szCs w:val="28"/>
      <w14:ligatures w14:val="none"/>
    </w:rPr>
  </w:style>
  <w:style w:type="paragraph" w:styleId="Odlomakpopisa">
    <w:name w:val="List Paragraph"/>
    <w:basedOn w:val="Normal"/>
    <w:uiPriority w:val="34"/>
    <w:qFormat/>
    <w:rsid w:val="00D14A18"/>
    <w:pPr>
      <w:ind w:left="720"/>
      <w:contextualSpacing/>
    </w:pPr>
  </w:style>
  <w:style w:type="table" w:styleId="Reetkatablice">
    <w:name w:val="Table Grid"/>
    <w:basedOn w:val="Obinatablica"/>
    <w:uiPriority w:val="59"/>
    <w:rsid w:val="00D14A18"/>
    <w:pPr>
      <w:spacing w:after="120" w:line="264"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D14A18"/>
    <w:pPr>
      <w:spacing w:before="100" w:beforeAutospacing="1" w:after="100" w:afterAutospacing="1"/>
    </w:pPr>
    <w:rPr>
      <w:rFonts w:ascii="Times New Roman" w:eastAsia="Times New Roman" w:hAnsi="Times New Roman" w:cs="Times New Roman"/>
      <w:sz w:val="24"/>
      <w:szCs w:val="24"/>
      <w:lang w:eastAsia="hr-HR"/>
    </w:rPr>
  </w:style>
  <w:style w:type="paragraph" w:styleId="Opisslike">
    <w:name w:val="caption"/>
    <w:basedOn w:val="Normal"/>
    <w:next w:val="Normal"/>
    <w:uiPriority w:val="35"/>
    <w:unhideWhenUsed/>
    <w:qFormat/>
    <w:rsid w:val="00D14A18"/>
    <w:pPr>
      <w:spacing w:line="240" w:lineRule="auto"/>
    </w:pPr>
    <w:rPr>
      <w:b/>
      <w:bCs/>
      <w:smallCaps/>
      <w:color w:val="595959" w:themeColor="text1" w:themeTint="A6"/>
      <w:spacing w:val="6"/>
    </w:rPr>
  </w:style>
  <w:style w:type="character" w:styleId="Istaknuto">
    <w:name w:val="Emphasis"/>
    <w:basedOn w:val="Zadanifontodlomka"/>
    <w:uiPriority w:val="20"/>
    <w:qFormat/>
    <w:rsid w:val="00D14A18"/>
    <w:rPr>
      <w:i/>
      <w:iCs/>
    </w:rPr>
  </w:style>
  <w:style w:type="paragraph" w:styleId="Citat">
    <w:name w:val="Quote"/>
    <w:basedOn w:val="Normal"/>
    <w:next w:val="Normal"/>
    <w:link w:val="CitatChar"/>
    <w:uiPriority w:val="29"/>
    <w:qFormat/>
    <w:rsid w:val="00D14A18"/>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D14A18"/>
    <w:rPr>
      <w:rFonts w:eastAsiaTheme="minorEastAsia"/>
      <w:i/>
      <w:iCs/>
      <w:color w:val="404040" w:themeColor="text1" w:themeTint="BF"/>
      <w:kern w:val="0"/>
      <w:sz w:val="20"/>
      <w:szCs w:val="20"/>
      <w14:ligatures w14:val="none"/>
    </w:rPr>
  </w:style>
  <w:style w:type="table" w:styleId="Srednjareetka1-Isticanje3">
    <w:name w:val="Medium Grid 1 Accent 3"/>
    <w:basedOn w:val="Obinatablica"/>
    <w:uiPriority w:val="67"/>
    <w:rsid w:val="00D14A18"/>
    <w:pPr>
      <w:spacing w:after="120" w:line="264" w:lineRule="auto"/>
    </w:pPr>
    <w:rPr>
      <w:rFonts w:eastAsiaTheme="minorEastAsia"/>
      <w:kern w:val="0"/>
      <w:sz w:val="20"/>
      <w:szCs w:val="2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rednjareetka1-Isticanje5">
    <w:name w:val="Medium Grid 1 Accent 5"/>
    <w:basedOn w:val="Obinatablica"/>
    <w:uiPriority w:val="67"/>
    <w:rsid w:val="00D14A18"/>
    <w:pPr>
      <w:spacing w:after="120" w:line="264" w:lineRule="auto"/>
    </w:pPr>
    <w:rPr>
      <w:rFonts w:eastAsiaTheme="minorEastAsia"/>
      <w:kern w:val="0"/>
      <w:sz w:val="20"/>
      <w:szCs w:val="2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character" w:styleId="Hiperveza">
    <w:name w:val="Hyperlink"/>
    <w:basedOn w:val="Zadanifontodlomka"/>
    <w:uiPriority w:val="99"/>
    <w:semiHidden/>
    <w:unhideWhenUsed/>
    <w:rsid w:val="00D14A18"/>
    <w:rPr>
      <w:color w:val="0000FF"/>
      <w:u w:val="single"/>
    </w:rPr>
  </w:style>
  <w:style w:type="character" w:customStyle="1" w:styleId="Naslov4Char">
    <w:name w:val="Naslov 4 Char"/>
    <w:basedOn w:val="Zadanifontodlomka"/>
    <w:link w:val="Naslov4"/>
    <w:uiPriority w:val="9"/>
    <w:semiHidden/>
    <w:rsid w:val="00D14A18"/>
    <w:rPr>
      <w:rFonts w:asciiTheme="majorHAnsi" w:eastAsiaTheme="majorEastAsia" w:hAnsiTheme="majorHAnsi" w:cstheme="majorBidi"/>
      <w:i/>
      <w:iCs/>
      <w:color w:val="2F5496" w:themeColor="accent1" w:themeShade="BF"/>
      <w:kern w:val="0"/>
      <w:sz w:val="20"/>
      <w:szCs w:val="20"/>
      <w14:ligatures w14:val="none"/>
    </w:rPr>
  </w:style>
  <w:style w:type="character" w:styleId="Naglaeno">
    <w:name w:val="Strong"/>
    <w:basedOn w:val="Zadanifontodlomka"/>
    <w:uiPriority w:val="22"/>
    <w:qFormat/>
    <w:rsid w:val="00D14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razdin.hr/djecji-vrtic-varazdin/" TargetMode="External"/><Relationship Id="rId18" Type="http://schemas.openxmlformats.org/officeDocument/2006/relationships/hyperlink" Target="https://varazdin.hr/hnk-varazdinu/" TargetMode="External"/><Relationship Id="rId26" Type="http://schemas.openxmlformats.org/officeDocument/2006/relationships/hyperlink" Target="https://varazdin.hr/cistoca-doo/" TargetMode="External"/><Relationship Id="rId39" Type="http://schemas.openxmlformats.org/officeDocument/2006/relationships/fontTable" Target="fontTable.xml"/><Relationship Id="rId21" Type="http://schemas.openxmlformats.org/officeDocument/2006/relationships/hyperlink" Target="https://varazdin.hr/pucko-otvoreno-uciliste/" TargetMode="External"/><Relationship Id="rId34" Type="http://schemas.openxmlformats.org/officeDocument/2006/relationships/hyperlink" Target="https://varazdin.hr/varkom-dd/" TargetMode="External"/><Relationship Id="rId7" Type="http://schemas.openxmlformats.org/officeDocument/2006/relationships/chart" Target="charts/chart2.xml"/><Relationship Id="rId12" Type="http://schemas.openxmlformats.org/officeDocument/2006/relationships/chart" Target="charts/chart6.xml"/><Relationship Id="rId17" Type="http://schemas.openxmlformats.org/officeDocument/2006/relationships/hyperlink" Target="https://varazdin.hr/javna-ustanova-gradski-stanovi-varazdin/" TargetMode="External"/><Relationship Id="rId25" Type="http://schemas.openxmlformats.org/officeDocument/2006/relationships/hyperlink" Target="https://varazdin.hr/aquacity-doo/" TargetMode="External"/><Relationship Id="rId33" Type="http://schemas.openxmlformats.org/officeDocument/2006/relationships/hyperlink" Target="https://varazdin.hr/varazdinske-vijesti-dd/" TargetMode="External"/><Relationship Id="rId38"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varazdin.hr/gradski-bazeni-varazdin/" TargetMode="External"/><Relationship Id="rId20" Type="http://schemas.openxmlformats.org/officeDocument/2006/relationships/hyperlink" Target="https://varazdin.hr/koncertni-ured-varazdin/" TargetMode="External"/><Relationship Id="rId29" Type="http://schemas.openxmlformats.org/officeDocument/2006/relationships/hyperlink" Target="https://varazdin.hr/razvojna-agencija-sjever-dan-doo/"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file:///C:\Users\tstrelec\AppData\Local\Microsoft\Windows\INetCache\Content.Outlook\WXBZGFDZ\graf%20Razdjeli%202024..xlsx" TargetMode="External"/><Relationship Id="rId24" Type="http://schemas.openxmlformats.org/officeDocument/2006/relationships/hyperlink" Target="https://varazdin.hr/dom-zrtve-obiteljskog-nasilja-utociste-sv-nikola-varazdin/" TargetMode="External"/><Relationship Id="rId32" Type="http://schemas.openxmlformats.org/officeDocument/2006/relationships/hyperlink" Target="https://varazdin.hr/varazdin-airport-doo/" TargetMode="External"/><Relationship Id="rId37" Type="http://schemas.openxmlformats.org/officeDocument/2006/relationships/hyperlink" Target="https://varazdin.hr/proracunski-dokumenti/"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varazdin.hr/gradski-muzej-varazdin/" TargetMode="External"/><Relationship Id="rId23" Type="http://schemas.openxmlformats.org/officeDocument/2006/relationships/hyperlink" Target="https://varazdin.hr/centar-pruzanje-usluga-zajednici-varazdin/" TargetMode="External"/><Relationship Id="rId28" Type="http://schemas.openxmlformats.org/officeDocument/2006/relationships/hyperlink" Target="https://varazdin.hr/parkovi-dd/" TargetMode="External"/><Relationship Id="rId36" Type="http://schemas.openxmlformats.org/officeDocument/2006/relationships/hyperlink" Target="https://varazdin.hr/zona-sjever-doo/" TargetMode="External"/><Relationship Id="rId10" Type="http://schemas.openxmlformats.org/officeDocument/2006/relationships/chart" Target="charts/chart5.xml"/><Relationship Id="rId19" Type="http://schemas.openxmlformats.org/officeDocument/2006/relationships/hyperlink" Target="https://varazdin.hr/javna-vatrogasna-postrojba-grada-varazdina/" TargetMode="External"/><Relationship Id="rId31" Type="http://schemas.openxmlformats.org/officeDocument/2006/relationships/hyperlink" Target="https://varazdin.hr/termoplin-dd-varazdin/"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s://varazdin.hr/gradska-knjiznica-i-citaonica-metel-ozegovic-varazdin/" TargetMode="External"/><Relationship Id="rId22" Type="http://schemas.openxmlformats.org/officeDocument/2006/relationships/hyperlink" Target="https://varazdin.hr/ustanova-regionalna-energetska-agencija-sjever/" TargetMode="External"/><Relationship Id="rId27" Type="http://schemas.openxmlformats.org/officeDocument/2006/relationships/hyperlink" Target="https://varazdin.hr/gradska-trznica-doo-varazdin/" TargetMode="External"/><Relationship Id="rId30" Type="http://schemas.openxmlformats.org/officeDocument/2006/relationships/hyperlink" Target="https://varazdin.hr/tehnoloski-park-doo-varazdin/" TargetMode="External"/><Relationship Id="rId35" Type="http://schemas.openxmlformats.org/officeDocument/2006/relationships/hyperlink" Target="https://varazdin.hr/vartop-doo/" TargetMode="External"/><Relationship Id="rId8" Type="http://schemas.openxmlformats.org/officeDocument/2006/relationships/chart" Target="charts/chart3.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D:\Prora&#269;un%202018\PRORA&#268;UN%20U%20MALOM%202018\Tabela%20-organizacijska%20struktur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478911670694629"/>
          <c:y val="5.0290927797419359E-2"/>
          <c:w val="0.88521088329305375"/>
          <c:h val="0.69465726667887429"/>
        </c:manualLayout>
      </c:layout>
      <c:bar3DChart>
        <c:barDir val="col"/>
        <c:grouping val="clustered"/>
        <c:varyColors val="0"/>
        <c:ser>
          <c:idx val="0"/>
          <c:order val="0"/>
          <c:tx>
            <c:strRef>
              <c:f>List3!$A$3</c:f>
              <c:strCache>
                <c:ptCount val="1"/>
                <c:pt idx="0">
                  <c:v>UKUPNI PRIHODI I PRIMICI</c:v>
                </c:pt>
              </c:strCache>
            </c:strRef>
          </c:tx>
          <c:spPr>
            <a:solidFill>
              <a:schemeClr val="accent6">
                <a:shade val="76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6.6006600660066007E-3"/>
                  <c:y val="-6.45994832041344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AD9-4693-B114-0A9E7DD6C693}"/>
                </c:ext>
              </c:extLst>
            </c:dLbl>
            <c:numFmt formatCode="#,##0.00" sourceLinked="0"/>
            <c:spPr>
              <a:noFill/>
              <a:ln>
                <a:noFill/>
              </a:ln>
              <a:effectLst/>
            </c:spPr>
            <c:txPr>
              <a:bodyPr rot="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List3!$B$2:$E$2</c:f>
              <c:strCache>
                <c:ptCount val="4"/>
                <c:pt idx="0">
                  <c:v>ostvarenje 
2023.</c:v>
                </c:pt>
                <c:pt idx="1">
                  <c:v>plan 2024.</c:v>
                </c:pt>
                <c:pt idx="2">
                  <c:v>projekcija 2025.</c:v>
                </c:pt>
                <c:pt idx="3">
                  <c:v>projekcija 2026.</c:v>
                </c:pt>
              </c:strCache>
            </c:strRef>
          </c:cat>
          <c:val>
            <c:numRef>
              <c:f>List3!$B$3:$E$3</c:f>
              <c:numCache>
                <c:formatCode>#,##0.00</c:formatCode>
                <c:ptCount val="4"/>
                <c:pt idx="0">
                  <c:v>69561106.030000001</c:v>
                </c:pt>
                <c:pt idx="1">
                  <c:v>108065411.19</c:v>
                </c:pt>
                <c:pt idx="2">
                  <c:v>108481111.55</c:v>
                </c:pt>
                <c:pt idx="3">
                  <c:v>96614678.959999993</c:v>
                </c:pt>
              </c:numCache>
            </c:numRef>
          </c:val>
          <c:extLst>
            <c:ext xmlns:c16="http://schemas.microsoft.com/office/drawing/2014/chart" uri="{C3380CC4-5D6E-409C-BE32-E72D297353CC}">
              <c16:uniqueId val="{00000001-FAD9-4693-B114-0A9E7DD6C693}"/>
            </c:ext>
          </c:extLst>
        </c:ser>
        <c:ser>
          <c:idx val="1"/>
          <c:order val="1"/>
          <c:tx>
            <c:strRef>
              <c:f>List3!$A$4</c:f>
              <c:strCache>
                <c:ptCount val="1"/>
                <c:pt idx="0">
                  <c:v>UKUPNI RASHODI I IZDACI</c:v>
                </c:pt>
              </c:strCache>
            </c:strRef>
          </c:tx>
          <c:spPr>
            <a:solidFill>
              <a:schemeClr val="accent6">
                <a:tint val="77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2.4202420242024163E-2"/>
                  <c:y val="-6.459948320413436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AD9-4693-B114-0A9E7DD6C693}"/>
                </c:ext>
              </c:extLst>
            </c:dLbl>
            <c:dLbl>
              <c:idx val="3"/>
              <c:layout>
                <c:manualLayout>
                  <c:x val="3.0803080308030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AD9-4693-B114-0A9E7DD6C693}"/>
                </c:ext>
              </c:extLst>
            </c:dLbl>
            <c:numFmt formatCode="#,##0.00" sourceLinked="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Amiri" pitchFamily="2" charset="-78"/>
                    <a:cs typeface="Times New Roman" panose="02020603050405020304" pitchFamily="18" charset="0"/>
                  </a:defRPr>
                </a:pPr>
                <a:endParaRPr lang="sr-Latn-R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List3!$B$2:$E$2</c:f>
              <c:strCache>
                <c:ptCount val="4"/>
                <c:pt idx="0">
                  <c:v>ostvarenje 
2023.</c:v>
                </c:pt>
                <c:pt idx="1">
                  <c:v>plan 2024.</c:v>
                </c:pt>
                <c:pt idx="2">
                  <c:v>projekcija 2025.</c:v>
                </c:pt>
                <c:pt idx="3">
                  <c:v>projekcija 2026.</c:v>
                </c:pt>
              </c:strCache>
            </c:strRef>
          </c:cat>
          <c:val>
            <c:numRef>
              <c:f>List3!$B$4:$E$4</c:f>
              <c:numCache>
                <c:formatCode>#,##0.00</c:formatCode>
                <c:ptCount val="4"/>
                <c:pt idx="0">
                  <c:v>64924654.439999998</c:v>
                </c:pt>
                <c:pt idx="1">
                  <c:v>112515644.19</c:v>
                </c:pt>
                <c:pt idx="2">
                  <c:v>108481111.55</c:v>
                </c:pt>
                <c:pt idx="3">
                  <c:v>96614678.960000008</c:v>
                </c:pt>
              </c:numCache>
            </c:numRef>
          </c:val>
          <c:extLst>
            <c:ext xmlns:c16="http://schemas.microsoft.com/office/drawing/2014/chart" uri="{C3380CC4-5D6E-409C-BE32-E72D297353CC}">
              <c16:uniqueId val="{00000004-FAD9-4693-B114-0A9E7DD6C693}"/>
            </c:ext>
          </c:extLst>
        </c:ser>
        <c:dLbls>
          <c:showLegendKey val="0"/>
          <c:showVal val="0"/>
          <c:showCatName val="0"/>
          <c:showSerName val="0"/>
          <c:showPercent val="0"/>
          <c:showBubbleSize val="0"/>
        </c:dLbls>
        <c:gapWidth val="150"/>
        <c:shape val="box"/>
        <c:axId val="102655872"/>
        <c:axId val="109605632"/>
        <c:axId val="0"/>
      </c:bar3DChart>
      <c:catAx>
        <c:axId val="102655872"/>
        <c:scaling>
          <c:orientation val="minMax"/>
        </c:scaling>
        <c:delete val="1"/>
        <c:axPos val="b"/>
        <c:numFmt formatCode="General" sourceLinked="0"/>
        <c:majorTickMark val="out"/>
        <c:minorTickMark val="none"/>
        <c:tickLblPos val="nextTo"/>
        <c:crossAx val="109605632"/>
        <c:crosses val="autoZero"/>
        <c:auto val="1"/>
        <c:lblAlgn val="ctr"/>
        <c:lblOffset val="100"/>
        <c:noMultiLvlLbl val="0"/>
      </c:catAx>
      <c:valAx>
        <c:axId val="109605632"/>
        <c:scaling>
          <c:orientation val="minMax"/>
        </c:scaling>
        <c:delete val="1"/>
        <c:axPos val="l"/>
        <c:majorGridlines>
          <c:spPr>
            <a:ln w="9525" cap="flat" cmpd="sng" algn="ctr">
              <a:solidFill>
                <a:schemeClr val="tx1">
                  <a:tint val="75000"/>
                  <a:shade val="95000"/>
                  <a:satMod val="105000"/>
                </a:schemeClr>
              </a:solidFill>
              <a:prstDash val="solid"/>
              <a:round/>
            </a:ln>
            <a:effectLst/>
          </c:spPr>
        </c:majorGridlines>
        <c:numFmt formatCode="#,##0.00" sourceLinked="1"/>
        <c:majorTickMark val="out"/>
        <c:minorTickMark val="none"/>
        <c:tickLblPos val="nextTo"/>
        <c:crossAx val="10265587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sr-Latn-RS"/>
              </a:p>
            </c:txPr>
          </c:dispUnitsLbl>
        </c:dispUnits>
      </c:valAx>
      <c:spPr>
        <a:noFill/>
        <a:ln>
          <a:noFill/>
        </a:ln>
        <a:effectLst/>
      </c:spPr>
    </c:plotArea>
    <c:legend>
      <c:legendPos val="r"/>
      <c:layout>
        <c:manualLayout>
          <c:xMode val="edge"/>
          <c:yMode val="edge"/>
          <c:x val="0.66652495170776915"/>
          <c:y val="0.82413706280900934"/>
          <c:w val="0.33347504829223079"/>
          <c:h val="0.149326283342489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9635127576266077E-2"/>
          <c:y val="8.9292807377180039E-2"/>
          <c:w val="0.65764613597323041"/>
          <c:h val="0.73214265187654459"/>
        </c:manualLayout>
      </c:layout>
      <c:bar3DChart>
        <c:barDir val="col"/>
        <c:grouping val="stacked"/>
        <c:varyColors val="0"/>
        <c:ser>
          <c:idx val="0"/>
          <c:order val="0"/>
          <c:tx>
            <c:strRef>
              <c:f>List2!$A$2</c:f>
              <c:strCache>
                <c:ptCount val="1"/>
                <c:pt idx="0">
                  <c:v>PRIHODI POSLOVANJA</c:v>
                </c:pt>
              </c:strCache>
            </c:strRef>
          </c:tx>
          <c:spPr>
            <a:solidFill>
              <a:schemeClr val="accent5">
                <a:tint val="65000"/>
              </a:schemeClr>
            </a:solidFill>
            <a:ln>
              <a:noFill/>
            </a:ln>
            <a:effectLst/>
            <a:sp3d/>
          </c:spPr>
          <c:invertIfNegative val="0"/>
          <c:cat>
            <c:strRef>
              <c:f>List2!$B$1:$E$1</c:f>
              <c:strCache>
                <c:ptCount val="4"/>
                <c:pt idx="0">
                  <c:v>ostvareni
 u  2023.</c:v>
                </c:pt>
                <c:pt idx="1">
                  <c:v>plan 2024</c:v>
                </c:pt>
                <c:pt idx="2">
                  <c:v>projekcija 2025</c:v>
                </c:pt>
                <c:pt idx="3">
                  <c:v>projekcija 2024</c:v>
                </c:pt>
              </c:strCache>
            </c:strRef>
          </c:cat>
          <c:val>
            <c:numRef>
              <c:f>List2!$B$2:$E$2</c:f>
              <c:numCache>
                <c:formatCode>#,##0.00</c:formatCode>
                <c:ptCount val="4"/>
                <c:pt idx="0">
                  <c:v>65622708.079999998</c:v>
                </c:pt>
                <c:pt idx="1">
                  <c:v>95773061.189999998</c:v>
                </c:pt>
                <c:pt idx="2">
                  <c:v>100457021.55</c:v>
                </c:pt>
                <c:pt idx="3">
                  <c:v>87563023.959999993</c:v>
                </c:pt>
              </c:numCache>
            </c:numRef>
          </c:val>
          <c:extLst>
            <c:ext xmlns:c16="http://schemas.microsoft.com/office/drawing/2014/chart" uri="{C3380CC4-5D6E-409C-BE32-E72D297353CC}">
              <c16:uniqueId val="{00000000-C463-45B5-98EF-D24226637A4A}"/>
            </c:ext>
          </c:extLst>
        </c:ser>
        <c:ser>
          <c:idx val="1"/>
          <c:order val="1"/>
          <c:tx>
            <c:strRef>
              <c:f>List2!$A$3</c:f>
              <c:strCache>
                <c:ptCount val="1"/>
                <c:pt idx="0">
                  <c:v>PRIHODI OD PRODAJE NEFINANCIJSKE IMOVINE-kapitalni prihodi</c:v>
                </c:pt>
              </c:strCache>
            </c:strRef>
          </c:tx>
          <c:spPr>
            <a:solidFill>
              <a:schemeClr val="accent5"/>
            </a:solidFill>
            <a:ln>
              <a:noFill/>
            </a:ln>
            <a:effectLst/>
            <a:sp3d/>
          </c:spPr>
          <c:invertIfNegative val="0"/>
          <c:cat>
            <c:strRef>
              <c:f>List2!$B$1:$E$1</c:f>
              <c:strCache>
                <c:ptCount val="4"/>
                <c:pt idx="0">
                  <c:v>ostvareni
 u  2023.</c:v>
                </c:pt>
                <c:pt idx="1">
                  <c:v>plan 2024</c:v>
                </c:pt>
                <c:pt idx="2">
                  <c:v>projekcija 2025</c:v>
                </c:pt>
                <c:pt idx="3">
                  <c:v>projekcija 2024</c:v>
                </c:pt>
              </c:strCache>
            </c:strRef>
          </c:cat>
          <c:val>
            <c:numRef>
              <c:f>List2!$B$3:$E$3</c:f>
              <c:numCache>
                <c:formatCode>#,##0.00</c:formatCode>
                <c:ptCount val="4"/>
                <c:pt idx="0">
                  <c:v>3854239.06</c:v>
                </c:pt>
                <c:pt idx="1">
                  <c:v>6892350</c:v>
                </c:pt>
                <c:pt idx="2">
                  <c:v>8024090</c:v>
                </c:pt>
                <c:pt idx="3">
                  <c:v>9051655</c:v>
                </c:pt>
              </c:numCache>
            </c:numRef>
          </c:val>
          <c:extLst>
            <c:ext xmlns:c16="http://schemas.microsoft.com/office/drawing/2014/chart" uri="{C3380CC4-5D6E-409C-BE32-E72D297353CC}">
              <c16:uniqueId val="{00000001-C463-45B5-98EF-D24226637A4A}"/>
            </c:ext>
          </c:extLst>
        </c:ser>
        <c:ser>
          <c:idx val="2"/>
          <c:order val="2"/>
          <c:tx>
            <c:strRef>
              <c:f>List2!$A$4</c:f>
              <c:strCache>
                <c:ptCount val="1"/>
                <c:pt idx="0">
                  <c:v>PRIMICI OD FINANCIJSKE IMOVINE I ZADUŽIVANJA</c:v>
                </c:pt>
              </c:strCache>
            </c:strRef>
          </c:tx>
          <c:spPr>
            <a:solidFill>
              <a:schemeClr val="accent5">
                <a:shade val="65000"/>
              </a:schemeClr>
            </a:solidFill>
            <a:ln>
              <a:noFill/>
            </a:ln>
            <a:effectLst/>
            <a:sp3d/>
          </c:spPr>
          <c:invertIfNegative val="0"/>
          <c:cat>
            <c:strRef>
              <c:f>List2!$B$1:$E$1</c:f>
              <c:strCache>
                <c:ptCount val="4"/>
                <c:pt idx="0">
                  <c:v>ostvareni
 u  2023.</c:v>
                </c:pt>
                <c:pt idx="1">
                  <c:v>plan 2024</c:v>
                </c:pt>
                <c:pt idx="2">
                  <c:v>projekcija 2025</c:v>
                </c:pt>
                <c:pt idx="3">
                  <c:v>projekcija 2024</c:v>
                </c:pt>
              </c:strCache>
            </c:strRef>
          </c:cat>
          <c:val>
            <c:numRef>
              <c:f>List2!$B$4:$E$4</c:f>
              <c:numCache>
                <c:formatCode>#,##0.00</c:formatCode>
                <c:ptCount val="4"/>
                <c:pt idx="0">
                  <c:v>0</c:v>
                </c:pt>
                <c:pt idx="1">
                  <c:v>5400000</c:v>
                </c:pt>
                <c:pt idx="2">
                  <c:v>0</c:v>
                </c:pt>
                <c:pt idx="3">
                  <c:v>0</c:v>
                </c:pt>
              </c:numCache>
            </c:numRef>
          </c:val>
          <c:extLst>
            <c:ext xmlns:c16="http://schemas.microsoft.com/office/drawing/2014/chart" uri="{C3380CC4-5D6E-409C-BE32-E72D297353CC}">
              <c16:uniqueId val="{00000002-C463-45B5-98EF-D24226637A4A}"/>
            </c:ext>
          </c:extLst>
        </c:ser>
        <c:dLbls>
          <c:showLegendKey val="0"/>
          <c:showVal val="0"/>
          <c:showCatName val="0"/>
          <c:showSerName val="0"/>
          <c:showPercent val="0"/>
          <c:showBubbleSize val="0"/>
        </c:dLbls>
        <c:gapWidth val="55"/>
        <c:gapDepth val="55"/>
        <c:shape val="box"/>
        <c:axId val="209627392"/>
        <c:axId val="101371904"/>
        <c:axId val="0"/>
      </c:bar3DChart>
      <c:catAx>
        <c:axId val="209627392"/>
        <c:scaling>
          <c:orientation val="minMax"/>
        </c:scaling>
        <c:delete val="0"/>
        <c:axPos val="b"/>
        <c:numFmt formatCode="General"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crossAx val="101371904"/>
        <c:crosses val="autoZero"/>
        <c:auto val="1"/>
        <c:lblAlgn val="ctr"/>
        <c:lblOffset val="100"/>
        <c:noMultiLvlLbl val="0"/>
      </c:catAx>
      <c:valAx>
        <c:axId val="101371904"/>
        <c:scaling>
          <c:orientation val="minMax"/>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crossAx val="20962739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dispUnitsLbl>
        </c:dispUnits>
      </c:valAx>
      <c:spPr>
        <a:noFill/>
        <a:ln>
          <a:noFill/>
        </a:ln>
        <a:effectLst/>
      </c:spPr>
    </c:plotArea>
    <c:legend>
      <c:legendPos val="r"/>
      <c:layout>
        <c:manualLayout>
          <c:xMode val="edge"/>
          <c:yMode val="edge"/>
          <c:x val="0.77047210996481685"/>
          <c:y val="0.33202948512033015"/>
          <c:w val="0.21691754955599024"/>
          <c:h val="0.3897343988717827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showDLblsOverMax val="0"/>
  </c:chart>
  <c:spPr>
    <a:noFill/>
    <a:ln w="9525" cap="flat" cmpd="sng" algn="ctr">
      <a:solidFill>
        <a:schemeClr val="tx1">
          <a:tint val="75000"/>
          <a:shade val="95000"/>
          <a:satMod val="105000"/>
        </a:schemeClr>
      </a:solidFill>
      <a:prstDash val="solid"/>
      <a:round/>
    </a:ln>
    <a:effectLst/>
  </c:spPr>
  <c:txPr>
    <a:bodyPr/>
    <a:lstStyle/>
    <a:p>
      <a:pPr>
        <a:defRPr sz="1000">
          <a:latin typeface="Times New Roman" panose="02020603050405020304" pitchFamily="18" charset="0"/>
          <a:cs typeface="Times New Roman" panose="02020603050405020304" pitchFamily="18" charset="0"/>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690550492212096"/>
          <c:y val="0.31641129318294675"/>
          <c:w val="0.71938568723624152"/>
          <c:h val="0.6386774558252567"/>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54A6-4051-92DA-469AFF92A00C}"/>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54A6-4051-92DA-469AFF92A00C}"/>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54A6-4051-92DA-469AFF92A00C}"/>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54A6-4051-92DA-469AFF92A00C}"/>
              </c:ext>
            </c:extLst>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54A6-4051-92DA-469AFF92A00C}"/>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54A6-4051-92DA-469AFF92A00C}"/>
              </c:ext>
            </c:extLst>
          </c:dPt>
          <c:dPt>
            <c:idx val="6"/>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54A6-4051-92DA-469AFF92A00C}"/>
              </c:ext>
            </c:extLst>
          </c:dPt>
          <c:dPt>
            <c:idx val="7"/>
            <c:bubble3D val="0"/>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54A6-4051-92DA-469AFF92A00C}"/>
              </c:ext>
            </c:extLst>
          </c:dPt>
          <c:dPt>
            <c:idx val="8"/>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54A6-4051-92DA-469AFF92A00C}"/>
              </c:ext>
            </c:extLst>
          </c:dPt>
          <c:dPt>
            <c:idx val="9"/>
            <c:bubble3D val="0"/>
            <c:spPr>
              <a:solidFill>
                <a:schemeClr val="accent1">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54A6-4051-92DA-469AFF92A00C}"/>
              </c:ext>
            </c:extLst>
          </c:dPt>
          <c:dLbls>
            <c:dLbl>
              <c:idx val="0"/>
              <c:layout>
                <c:manualLayout>
                  <c:x val="-8.7489063867016617E-2"/>
                  <c:y val="5.8293587705352361E-2"/>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4A6-4051-92DA-469AFF92A00C}"/>
                </c:ext>
              </c:extLst>
            </c:dLbl>
            <c:dLbl>
              <c:idx val="1"/>
              <c:layout>
                <c:manualLayout>
                  <c:x val="0.256999297331928"/>
                  <c:y val="-0.25039745627980919"/>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7362204724409448"/>
                      <c:h val="0.11393746687864335"/>
                    </c:manualLayout>
                  </c15:layout>
                </c:ext>
                <c:ext xmlns:c16="http://schemas.microsoft.com/office/drawing/2014/chart" uri="{C3380CC4-5D6E-409C-BE32-E72D297353CC}">
                  <c16:uniqueId val="{00000003-54A6-4051-92DA-469AFF92A00C}"/>
                </c:ext>
              </c:extLst>
            </c:dLbl>
            <c:dLbl>
              <c:idx val="2"/>
              <c:layout>
                <c:manualLayout>
                  <c:x val="-2.6246719160104987E-2"/>
                  <c:y val="0.18282988871224165"/>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54A6-4051-92DA-469AFF92A00C}"/>
                </c:ext>
              </c:extLst>
            </c:dLbl>
            <c:dLbl>
              <c:idx val="3"/>
              <c:layout>
                <c:manualLayout>
                  <c:x val="-6.5616797900262466E-2"/>
                  <c:y val="0.14043455219925807"/>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54A6-4051-92DA-469AFF92A00C}"/>
                </c:ext>
              </c:extLst>
            </c:dLbl>
            <c:dLbl>
              <c:idx val="4"/>
              <c:layout>
                <c:manualLayout>
                  <c:x val="-0.14654418197725283"/>
                  <c:y val="-2.3847376788553237E-2"/>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54A6-4051-92DA-469AFF92A00C}"/>
                </c:ext>
              </c:extLst>
            </c:dLbl>
            <c:dLbl>
              <c:idx val="5"/>
              <c:layout>
                <c:manualLayout>
                  <c:x val="-6.3429571303587048E-2"/>
                  <c:y val="-0.29411764705882354"/>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54A6-4051-92DA-469AFF92A00C}"/>
                </c:ext>
              </c:extLst>
            </c:dLbl>
            <c:dLbl>
              <c:idx val="6"/>
              <c:layout>
                <c:manualLayout>
                  <c:x val="0.1399825021872266"/>
                  <c:y val="-0.27027027027027029"/>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54A6-4051-92DA-469AFF92A00C}"/>
                </c:ext>
              </c:extLst>
            </c:dLbl>
            <c:dLbl>
              <c:idx val="7"/>
              <c:layout>
                <c:manualLayout>
                  <c:x val="0.29965004374453186"/>
                  <c:y val="-0.22787493375728671"/>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54A6-4051-92DA-469AFF92A00C}"/>
                </c:ext>
              </c:extLst>
            </c:dLbl>
            <c:dLbl>
              <c:idx val="8"/>
              <c:layout>
                <c:manualLayout>
                  <c:x val="0.41994750656167978"/>
                  <c:y val="-0.14308426073131955"/>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54A6-4051-92DA-469AFF92A00C}"/>
                </c:ext>
              </c:extLst>
            </c:dLbl>
            <c:dLbl>
              <c:idx val="9"/>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extLst>
                <c:ext xmlns:c16="http://schemas.microsoft.com/office/drawing/2014/chart" uri="{C3380CC4-5D6E-409C-BE32-E72D297353CC}">
                  <c16:uniqueId val="{00000013-54A6-4051-92DA-469AFF92A00C}"/>
                </c:ext>
              </c:extLst>
            </c:dLbl>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'prihodi 2 razina'!$A$2:$A$11</c:f>
              <c:strCache>
                <c:ptCount val="9"/>
                <c:pt idx="0">
                  <c:v>61 Prihodi od poreza</c:v>
                </c:pt>
                <c:pt idx="1">
                  <c:v>63 Pomoći iz inozemstva (darovnice) i od subjekata unutar opće države</c:v>
                </c:pt>
                <c:pt idx="2">
                  <c:v>64 Prihodi od imovine</c:v>
                </c:pt>
                <c:pt idx="3">
                  <c:v>65 Prihodi od upravnih administrativnih pristojbi, pristojbi po posebnim propisima i naknada</c:v>
                </c:pt>
                <c:pt idx="4">
                  <c:v>66 Prihodi od prodaje proizvoda i robe te pruženih usluga i prihodi od donacija te povrati po protestiranim jamstvima</c:v>
                </c:pt>
                <c:pt idx="5">
                  <c:v>68 Kazne, upravne mjere i ostali prihodi</c:v>
                </c:pt>
                <c:pt idx="6">
                  <c:v>71 Prihodi od prodaje neproizvedene dugotrajne imovine</c:v>
                </c:pt>
                <c:pt idx="7">
                  <c:v>72 Prihodi od prodaje proizvedene dugotrajne imovine</c:v>
                </c:pt>
                <c:pt idx="8">
                  <c:v>84 Primici od zaduživanja</c:v>
                </c:pt>
              </c:strCache>
            </c:strRef>
          </c:cat>
          <c:val>
            <c:numRef>
              <c:f>'prihodi 2 razina'!$B$2:$B$11</c:f>
              <c:numCache>
                <c:formatCode>#,##0.00</c:formatCode>
                <c:ptCount val="10"/>
                <c:pt idx="0">
                  <c:v>34327756.859999999</c:v>
                </c:pt>
                <c:pt idx="1">
                  <c:v>44930136.329999998</c:v>
                </c:pt>
                <c:pt idx="2">
                  <c:v>4127424</c:v>
                </c:pt>
                <c:pt idx="3">
                  <c:v>10994788</c:v>
                </c:pt>
                <c:pt idx="4">
                  <c:v>1248756</c:v>
                </c:pt>
                <c:pt idx="5">
                  <c:v>144200</c:v>
                </c:pt>
                <c:pt idx="6">
                  <c:v>3072900</c:v>
                </c:pt>
                <c:pt idx="7">
                  <c:v>3819450</c:v>
                </c:pt>
                <c:pt idx="8">
                  <c:v>5400000</c:v>
                </c:pt>
              </c:numCache>
            </c:numRef>
          </c:val>
          <c:extLst>
            <c:ext xmlns:c16="http://schemas.microsoft.com/office/drawing/2014/chart" uri="{C3380CC4-5D6E-409C-BE32-E72D297353CC}">
              <c16:uniqueId val="{00000014-54A6-4051-92DA-469AFF92A00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noFill/>
    <a:ln w="9525" cap="flat" cmpd="sng" algn="ctr">
      <a:solidFill>
        <a:schemeClr val="tx1">
          <a:lumMod val="15000"/>
          <a:lumOff val="85000"/>
        </a:schemeClr>
      </a:solidFill>
      <a:round/>
    </a:ln>
    <a:effectLst/>
  </c:spPr>
  <c:txPr>
    <a:bodyPr/>
    <a:lstStyle/>
    <a:p>
      <a:pPr>
        <a:defRPr b="0">
          <a:solidFill>
            <a:sysClr val="windowText" lastClr="000000"/>
          </a:solidFill>
          <a:latin typeface="Times New Roman" panose="02020603050405020304" pitchFamily="18" charset="0"/>
          <a:cs typeface="Times New Roman" panose="02020603050405020304" pitchFamily="18" charset="0"/>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82882269557194"/>
          <c:y val="3.7177857325914082E-2"/>
          <c:w val="0.62342820037133095"/>
          <c:h val="0.83713431303357033"/>
        </c:manualLayout>
      </c:layout>
      <c:bar3DChart>
        <c:barDir val="col"/>
        <c:grouping val="stacked"/>
        <c:varyColors val="0"/>
        <c:ser>
          <c:idx val="0"/>
          <c:order val="0"/>
          <c:tx>
            <c:strRef>
              <c:f>'20230601134509'!$A$2</c:f>
              <c:strCache>
                <c:ptCount val="1"/>
                <c:pt idx="0">
                  <c:v>3 Rashodi poslovanja</c:v>
                </c:pt>
              </c:strCache>
            </c:strRef>
          </c:tx>
          <c:spPr>
            <a:solidFill>
              <a:schemeClr val="accent6"/>
            </a:solidFill>
            <a:ln>
              <a:noFill/>
            </a:ln>
            <a:effectLst/>
            <a:sp3d/>
          </c:spPr>
          <c:invertIfNegative val="0"/>
          <c:cat>
            <c:strRef>
              <c:f>'20230601134509'!$B$1:$E$1</c:f>
              <c:strCache>
                <c:ptCount val="4"/>
                <c:pt idx="0">
                  <c:v>Izvršenje  2023.</c:v>
                </c:pt>
                <c:pt idx="1">
                  <c:v>Plan 2024.</c:v>
                </c:pt>
                <c:pt idx="2">
                  <c:v>Projekcija 2025.</c:v>
                </c:pt>
                <c:pt idx="3">
                  <c:v>Projekcija 2026.</c:v>
                </c:pt>
              </c:strCache>
            </c:strRef>
          </c:cat>
          <c:val>
            <c:numRef>
              <c:f>'20230601134509'!$B$2:$E$2</c:f>
              <c:numCache>
                <c:formatCode>#,##0.00</c:formatCode>
                <c:ptCount val="4"/>
                <c:pt idx="0">
                  <c:v>54932770.810000002</c:v>
                </c:pt>
                <c:pt idx="1">
                  <c:v>65174833</c:v>
                </c:pt>
                <c:pt idx="2">
                  <c:v>65367739</c:v>
                </c:pt>
                <c:pt idx="3">
                  <c:v>66966832.5</c:v>
                </c:pt>
              </c:numCache>
            </c:numRef>
          </c:val>
          <c:extLst>
            <c:ext xmlns:c16="http://schemas.microsoft.com/office/drawing/2014/chart" uri="{C3380CC4-5D6E-409C-BE32-E72D297353CC}">
              <c16:uniqueId val="{00000000-FBAE-4065-B8F8-477DE3E6B41E}"/>
            </c:ext>
          </c:extLst>
        </c:ser>
        <c:ser>
          <c:idx val="1"/>
          <c:order val="1"/>
          <c:tx>
            <c:strRef>
              <c:f>'20230601134509'!$A$3</c:f>
              <c:strCache>
                <c:ptCount val="1"/>
                <c:pt idx="0">
                  <c:v>4 Rashodi za nabavu nefinancijske imovine</c:v>
                </c:pt>
              </c:strCache>
            </c:strRef>
          </c:tx>
          <c:spPr>
            <a:solidFill>
              <a:schemeClr val="accent5"/>
            </a:solidFill>
            <a:ln>
              <a:noFill/>
            </a:ln>
            <a:effectLst/>
            <a:sp3d/>
          </c:spPr>
          <c:invertIfNegative val="0"/>
          <c:cat>
            <c:strRef>
              <c:f>'20230601134509'!$B$1:$E$1</c:f>
              <c:strCache>
                <c:ptCount val="4"/>
                <c:pt idx="0">
                  <c:v>Izvršenje  2023.</c:v>
                </c:pt>
                <c:pt idx="1">
                  <c:v>Plan 2024.</c:v>
                </c:pt>
                <c:pt idx="2">
                  <c:v>Projekcija 2025.</c:v>
                </c:pt>
                <c:pt idx="3">
                  <c:v>Projekcija 2026.</c:v>
                </c:pt>
              </c:strCache>
            </c:strRef>
          </c:cat>
          <c:val>
            <c:numRef>
              <c:f>'20230601134509'!$B$3:$E$3</c:f>
              <c:numCache>
                <c:formatCode>#,##0.00</c:formatCode>
                <c:ptCount val="4"/>
                <c:pt idx="0">
                  <c:v>9280573.6099999994</c:v>
                </c:pt>
                <c:pt idx="1">
                  <c:v>46488306.189999998</c:v>
                </c:pt>
                <c:pt idx="2">
                  <c:v>40083782.549999997</c:v>
                </c:pt>
                <c:pt idx="3">
                  <c:v>25721771.460000001</c:v>
                </c:pt>
              </c:numCache>
            </c:numRef>
          </c:val>
          <c:extLst>
            <c:ext xmlns:c16="http://schemas.microsoft.com/office/drawing/2014/chart" uri="{C3380CC4-5D6E-409C-BE32-E72D297353CC}">
              <c16:uniqueId val="{00000001-FBAE-4065-B8F8-477DE3E6B41E}"/>
            </c:ext>
          </c:extLst>
        </c:ser>
        <c:ser>
          <c:idx val="2"/>
          <c:order val="2"/>
          <c:tx>
            <c:strRef>
              <c:f>'20230601134509'!$A$4</c:f>
              <c:strCache>
                <c:ptCount val="1"/>
                <c:pt idx="0">
                  <c:v>5 Izdaci za financijsku imovinu i otplate zajmova</c:v>
                </c:pt>
              </c:strCache>
            </c:strRef>
          </c:tx>
          <c:spPr>
            <a:solidFill>
              <a:schemeClr val="accent4"/>
            </a:solidFill>
            <a:ln>
              <a:noFill/>
            </a:ln>
            <a:effectLst/>
            <a:sp3d/>
          </c:spPr>
          <c:invertIfNegative val="0"/>
          <c:cat>
            <c:strRef>
              <c:f>'20230601134509'!$B$1:$E$1</c:f>
              <c:strCache>
                <c:ptCount val="4"/>
                <c:pt idx="0">
                  <c:v>Izvršenje  2023.</c:v>
                </c:pt>
                <c:pt idx="1">
                  <c:v>Plan 2024.</c:v>
                </c:pt>
                <c:pt idx="2">
                  <c:v>Projekcija 2025.</c:v>
                </c:pt>
                <c:pt idx="3">
                  <c:v>Projekcija 2026.</c:v>
                </c:pt>
              </c:strCache>
            </c:strRef>
          </c:cat>
          <c:val>
            <c:numRef>
              <c:f>'20230601134509'!$B$4:$E$4</c:f>
              <c:numCache>
                <c:formatCode>#,##0.00</c:formatCode>
                <c:ptCount val="4"/>
                <c:pt idx="0">
                  <c:v>711310.02</c:v>
                </c:pt>
                <c:pt idx="1">
                  <c:v>852505</c:v>
                </c:pt>
                <c:pt idx="2">
                  <c:v>3029590</c:v>
                </c:pt>
                <c:pt idx="3">
                  <c:v>3926075</c:v>
                </c:pt>
              </c:numCache>
            </c:numRef>
          </c:val>
          <c:extLst>
            <c:ext xmlns:c16="http://schemas.microsoft.com/office/drawing/2014/chart" uri="{C3380CC4-5D6E-409C-BE32-E72D297353CC}">
              <c16:uniqueId val="{00000002-FBAE-4065-B8F8-477DE3E6B41E}"/>
            </c:ext>
          </c:extLst>
        </c:ser>
        <c:dLbls>
          <c:showLegendKey val="0"/>
          <c:showVal val="0"/>
          <c:showCatName val="0"/>
          <c:showSerName val="0"/>
          <c:showPercent val="0"/>
          <c:showBubbleSize val="0"/>
        </c:dLbls>
        <c:gapWidth val="55"/>
        <c:gapDepth val="55"/>
        <c:shape val="box"/>
        <c:axId val="1391500239"/>
        <c:axId val="1391498799"/>
        <c:axId val="0"/>
      </c:bar3DChart>
      <c:catAx>
        <c:axId val="13915002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sr-Latn-RS"/>
          </a:p>
        </c:txPr>
        <c:crossAx val="1391498799"/>
        <c:crossesAt val="0"/>
        <c:auto val="1"/>
        <c:lblAlgn val="ctr"/>
        <c:lblOffset val="100"/>
        <c:noMultiLvlLbl val="0"/>
      </c:catAx>
      <c:valAx>
        <c:axId val="1391498799"/>
        <c:scaling>
          <c:orientation val="minMax"/>
        </c:scaling>
        <c:delete val="0"/>
        <c:axPos val="l"/>
        <c:majorGridlines>
          <c:spPr>
            <a:ln w="9525" cap="flat" cmpd="sng" algn="ctr">
              <a:solidFill>
                <a:schemeClr val="bg1">
                  <a:lumMod val="6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crossAx val="1391500239"/>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sr-Latn-RS"/>
              </a:p>
            </c:txPr>
          </c:dispUnitsLbl>
        </c:dispUnits>
      </c:valAx>
      <c:spPr>
        <a:noFill/>
        <a:ln>
          <a:noFill/>
        </a:ln>
        <a:effectLst/>
      </c:spPr>
    </c:plotArea>
    <c:legend>
      <c:legendPos val="r"/>
      <c:layout>
        <c:manualLayout>
          <c:xMode val="edge"/>
          <c:yMode val="edge"/>
          <c:x val="0.77140502288609913"/>
          <c:y val="0.35931427744155664"/>
          <c:w val="0.21658657122978206"/>
          <c:h val="0.2813711789904920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solidFill>
            <a:schemeClr val="tx1"/>
          </a:solidFill>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1180937595568686"/>
          <c:y val="0.14788404827774906"/>
          <c:w val="0.77716518070301832"/>
          <c:h val="0.70517139107611548"/>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064-4678-96A5-CD1B42512372}"/>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064-4678-96A5-CD1B42512372}"/>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064-4678-96A5-CD1B42512372}"/>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064-4678-96A5-CD1B42512372}"/>
              </c:ext>
            </c:extLst>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064-4678-96A5-CD1B42512372}"/>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064-4678-96A5-CD1B42512372}"/>
              </c:ext>
            </c:extLst>
          </c:dPt>
          <c:dPt>
            <c:idx val="6"/>
            <c:bubble3D val="0"/>
            <c:spPr>
              <a:solidFill>
                <a:schemeClr val="accent1">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064-4678-96A5-CD1B42512372}"/>
              </c:ext>
            </c:extLst>
          </c:dPt>
          <c:dPt>
            <c:idx val="7"/>
            <c:bubble3D val="0"/>
            <c:spPr>
              <a:solidFill>
                <a:schemeClr val="accent3">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064-4678-96A5-CD1B42512372}"/>
              </c:ext>
            </c:extLst>
          </c:dPt>
          <c:dPt>
            <c:idx val="8"/>
            <c:bubble3D val="0"/>
            <c:spPr>
              <a:solidFill>
                <a:schemeClr val="accent5">
                  <a:lumMod val="80000"/>
                  <a:lumOff val="2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064-4678-96A5-CD1B42512372}"/>
              </c:ext>
            </c:extLst>
          </c:dPt>
          <c:dPt>
            <c:idx val="9"/>
            <c:bubble3D val="0"/>
            <c:spPr>
              <a:solidFill>
                <a:schemeClr val="accent1">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7064-4678-96A5-CD1B42512372}"/>
              </c:ext>
            </c:extLst>
          </c:dPt>
          <c:dPt>
            <c:idx val="10"/>
            <c:bubble3D val="0"/>
            <c:spPr>
              <a:solidFill>
                <a:schemeClr val="accent3">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7064-4678-96A5-CD1B42512372}"/>
              </c:ext>
            </c:extLst>
          </c:dPt>
          <c:dPt>
            <c:idx val="11"/>
            <c:bubble3D val="0"/>
            <c:spPr>
              <a:solidFill>
                <a:schemeClr val="accent5">
                  <a:lumMod val="8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7064-4678-96A5-CD1B42512372}"/>
              </c:ext>
            </c:extLst>
          </c:dPt>
          <c:dLbls>
            <c:dLbl>
              <c:idx val="0"/>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01-7064-4678-96A5-CD1B42512372}"/>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6="http://schemas.microsoft.com/office/drawing/2014/chart" uri="{C3380CC4-5D6E-409C-BE32-E72D297353CC}">
                  <c16:uniqueId val="{00000003-7064-4678-96A5-CD1B42512372}"/>
                </c:ext>
              </c:extLst>
            </c:dLbl>
            <c:dLbl>
              <c:idx val="2"/>
              <c:layout>
                <c:manualLayout>
                  <c:x val="0.12947312677425796"/>
                  <c:y val="4.153055672473796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064-4678-96A5-CD1B42512372}"/>
                </c:ext>
              </c:extLst>
            </c:dLbl>
            <c:dLbl>
              <c:idx val="3"/>
              <c:layout>
                <c:manualLayout>
                  <c:x val="3.4881629322244152E-2"/>
                  <c:y val="0.13675498841653919"/>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064-4678-96A5-CD1B42512372}"/>
                </c:ext>
              </c:extLst>
            </c:dLbl>
            <c:dLbl>
              <c:idx val="4"/>
              <c:layout>
                <c:manualLayout>
                  <c:x val="-0.11874119924645582"/>
                  <c:y val="0.1963940703631081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064-4678-96A5-CD1B42512372}"/>
                </c:ext>
              </c:extLst>
            </c:dLbl>
            <c:dLbl>
              <c:idx val="5"/>
              <c:layout>
                <c:manualLayout>
                  <c:x val="-0.11391296043893089"/>
                  <c:y val="5.7488356654244815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15:layout>
                    <c:manualLayout>
                      <c:w val="0.20008514261387825"/>
                      <c:h val="0.11203346203346204"/>
                    </c:manualLayout>
                  </c15:layout>
                </c:ext>
                <c:ext xmlns:c16="http://schemas.microsoft.com/office/drawing/2014/chart" uri="{C3380CC4-5D6E-409C-BE32-E72D297353CC}">
                  <c16:uniqueId val="{0000000B-7064-4678-96A5-CD1B42512372}"/>
                </c:ext>
              </c:extLst>
            </c:dLbl>
            <c:dLbl>
              <c:idx val="6"/>
              <c:layout>
                <c:manualLayout>
                  <c:x val="-8.8365729366519374E-2"/>
                  <c:y val="0.11499228339612698"/>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7064-4678-96A5-CD1B42512372}"/>
                </c:ext>
              </c:extLst>
            </c:dLbl>
            <c:dLbl>
              <c:idx val="7"/>
              <c:layout>
                <c:manualLayout>
                  <c:x val="-0.14762815893878756"/>
                  <c:y val="5.6199461377628461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7064-4678-96A5-CD1B42512372}"/>
                </c:ext>
              </c:extLst>
            </c:dLbl>
            <c:dLbl>
              <c:idx val="8"/>
              <c:layout>
                <c:manualLayout>
                  <c:x val="-9.9923765323962174E-2"/>
                  <c:y val="-4.6683772291425986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7064-4678-96A5-CD1B42512372}"/>
                </c:ext>
              </c:extLst>
            </c:dLbl>
            <c:dLbl>
              <c:idx val="9"/>
              <c:layout>
                <c:manualLayout>
                  <c:x val="-0.14463446452365519"/>
                  <c:y val="-7.0062869516232307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7064-4678-96A5-CD1B42512372}"/>
                </c:ext>
              </c:extLst>
            </c:dLbl>
            <c:dLbl>
              <c:idx val="10"/>
              <c:layout>
                <c:manualLayout>
                  <c:x val="4.1855261377676664E-3"/>
                  <c:y val="-0.1155066309927851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7064-4678-96A5-CD1B42512372}"/>
                </c:ext>
              </c:extLst>
            </c:dLbl>
            <c:dLbl>
              <c:idx val="11"/>
              <c:layout>
                <c:manualLayout>
                  <c:x val="0.1876263196653"/>
                  <c:y val="-7.2482665122012541E-2"/>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7064-4678-96A5-CD1B42512372}"/>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sr-Latn-R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'20220117135838'!$A$2:$A$13</c:f>
              <c:strCache>
                <c:ptCount val="12"/>
                <c:pt idx="0">
                  <c:v>31 Rashodi za zaposlene</c:v>
                </c:pt>
                <c:pt idx="1">
                  <c:v>32 Materijalni rashodi</c:v>
                </c:pt>
                <c:pt idx="2">
                  <c:v>34 Financijski rashodi</c:v>
                </c:pt>
                <c:pt idx="3">
                  <c:v>35 Subvencije</c:v>
                </c:pt>
                <c:pt idx="4">
                  <c:v>36 Pomoći dane u inozemstvo i unutar općeg proračuna</c:v>
                </c:pt>
                <c:pt idx="5">
                  <c:v>37 Naknade građanima i kućanstvima na temelju osiguranja i druge naknade</c:v>
                </c:pt>
                <c:pt idx="6">
                  <c:v>38 Ostali rashodi</c:v>
                </c:pt>
                <c:pt idx="7">
                  <c:v>41 Rashodi za nabavu neproizvedene dugotrajne imovine</c:v>
                </c:pt>
                <c:pt idx="8">
                  <c:v>42 Rashodi za nabavu proizvedene dugotrajne imovine</c:v>
                </c:pt>
                <c:pt idx="9">
                  <c:v>45 Rashodi za dodatna ulaganja na nefinancijskoj imovini</c:v>
                </c:pt>
                <c:pt idx="10">
                  <c:v>53 Izdaci za dionice i udjele u glavnici</c:v>
                </c:pt>
                <c:pt idx="11">
                  <c:v>54 Izdaci za otplatu glavnice primljenih zajmova</c:v>
                </c:pt>
              </c:strCache>
            </c:strRef>
          </c:cat>
          <c:val>
            <c:numRef>
              <c:f>'20220117135838'!$B$2:$B$13</c:f>
              <c:numCache>
                <c:formatCode>#,##0.00</c:formatCode>
                <c:ptCount val="12"/>
                <c:pt idx="0">
                  <c:v>27039905</c:v>
                </c:pt>
                <c:pt idx="1">
                  <c:v>25621224</c:v>
                </c:pt>
                <c:pt idx="2">
                  <c:v>342303</c:v>
                </c:pt>
                <c:pt idx="3">
                  <c:v>1161600</c:v>
                </c:pt>
                <c:pt idx="4">
                  <c:v>108630</c:v>
                </c:pt>
                <c:pt idx="5">
                  <c:v>2695043</c:v>
                </c:pt>
                <c:pt idx="6">
                  <c:v>8206128</c:v>
                </c:pt>
                <c:pt idx="7">
                  <c:v>725490</c:v>
                </c:pt>
                <c:pt idx="8">
                  <c:v>42967097.189999998</c:v>
                </c:pt>
                <c:pt idx="9">
                  <c:v>2795719</c:v>
                </c:pt>
                <c:pt idx="10">
                  <c:v>130000</c:v>
                </c:pt>
                <c:pt idx="11">
                  <c:v>722505</c:v>
                </c:pt>
              </c:numCache>
            </c:numRef>
          </c:val>
          <c:extLst>
            <c:ext xmlns:c16="http://schemas.microsoft.com/office/drawing/2014/chart" uri="{C3380CC4-5D6E-409C-BE32-E72D297353CC}">
              <c16:uniqueId val="{00000018-7064-4678-96A5-CD1B42512372}"/>
            </c:ext>
          </c:extLst>
        </c:ser>
        <c:dLbls>
          <c:showLegendKey val="0"/>
          <c:showVal val="0"/>
          <c:showCatName val="1"/>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858376493045318"/>
          <c:y val="0.20436056274956152"/>
          <c:w val="0.67956315273159762"/>
          <c:h val="0.68195619468162005"/>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581-4DBF-925B-5B64CF6D86F9}"/>
              </c:ext>
            </c:extLst>
          </c:dPt>
          <c:dPt>
            <c:idx val="1"/>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581-4DBF-925B-5B64CF6D86F9}"/>
              </c:ext>
            </c:extLst>
          </c:dPt>
          <c:dPt>
            <c:idx val="2"/>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581-4DBF-925B-5B64CF6D86F9}"/>
              </c:ext>
            </c:extLst>
          </c:dPt>
          <c:dPt>
            <c:idx val="3"/>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581-4DBF-925B-5B64CF6D86F9}"/>
              </c:ext>
            </c:extLst>
          </c:dPt>
          <c:dPt>
            <c:idx val="4"/>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581-4DBF-925B-5B64CF6D86F9}"/>
              </c:ext>
            </c:extLst>
          </c:dPt>
          <c:dPt>
            <c:idx val="5"/>
            <c:bubble3D val="0"/>
            <c:spPr>
              <a:solidFill>
                <a:schemeClr val="accent5">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D581-4DBF-925B-5B64CF6D86F9}"/>
              </c:ext>
            </c:extLst>
          </c:dPt>
          <c:dLbls>
            <c:dLbl>
              <c:idx val="0"/>
              <c:layout>
                <c:manualLayout>
                  <c:x val="3.709360680776784E-2"/>
                  <c:y val="-6.7538126361655779E-2"/>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581-4DBF-925B-5B64CF6D86F9}"/>
                </c:ext>
              </c:extLst>
            </c:dLbl>
            <c:dLbl>
              <c:idx val="1"/>
              <c:layout>
                <c:manualLayout>
                  <c:x val="0"/>
                  <c:y val="-0.19172113289760354"/>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18963616317530319"/>
                      <c:h val="0.19851116625310175"/>
                    </c:manualLayout>
                  </c15:layout>
                </c:ext>
                <c:ext xmlns:c16="http://schemas.microsoft.com/office/drawing/2014/chart" uri="{C3380CC4-5D6E-409C-BE32-E72D297353CC}">
                  <c16:uniqueId val="{00000003-D581-4DBF-925B-5B64CF6D86F9}"/>
                </c:ext>
              </c:extLst>
            </c:dLbl>
            <c:dLbl>
              <c:idx val="2"/>
              <c:layout>
                <c:manualLayout>
                  <c:x val="0.14727790566787141"/>
                  <c:y val="8.7145969498910514E-2"/>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15:layout>
                    <c:manualLayout>
                      <c:w val="0.39137816979051826"/>
                      <c:h val="0.19851116625310175"/>
                    </c:manualLayout>
                  </c15:layout>
                </c:ext>
                <c:ext xmlns:c16="http://schemas.microsoft.com/office/drawing/2014/chart" uri="{C3380CC4-5D6E-409C-BE32-E72D297353CC}">
                  <c16:uniqueId val="{00000005-D581-4DBF-925B-5B64CF6D86F9}"/>
                </c:ext>
              </c:extLst>
            </c:dLbl>
            <c:dLbl>
              <c:idx val="3"/>
              <c:layout>
                <c:manualLayout>
                  <c:x val="0"/>
                  <c:y val="0.14814814814814814"/>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581-4DBF-925B-5B64CF6D86F9}"/>
                </c:ext>
              </c:extLst>
            </c:dLbl>
            <c:dLbl>
              <c:idx val="4"/>
              <c:layout>
                <c:manualLayout>
                  <c:x val="-0.11140819964349379"/>
                  <c:y val="2.7646129541864139E-2"/>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581-4DBF-925B-5B64CF6D86F9}"/>
                </c:ext>
              </c:extLst>
            </c:dLbl>
            <c:dLbl>
              <c:idx val="5"/>
              <c:layout>
                <c:manualLayout>
                  <c:x val="-1.3091861226271042E-2"/>
                  <c:y val="-6.535947712418301E-2"/>
                </c:manualLayout>
              </c:layout>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581-4DBF-925B-5B64CF6D86F9}"/>
                </c:ext>
              </c:extLst>
            </c:dLbl>
            <c:numFmt formatCode="0.00%" sourceLinked="0"/>
            <c:spPr>
              <a:noFill/>
              <a:ln>
                <a:noFill/>
              </a:ln>
              <a:effectLst/>
            </c:spPr>
            <c:txPr>
              <a:bodyPr rot="0" spcFirstLastPara="1" vertOverflow="ellipsis" vert="horz" wrap="square" anchor="ctr" anchorCtr="1"/>
              <a:lstStyle/>
              <a:p>
                <a:pP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sr-Latn-R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'20240118085530'!$A$3:$A$8</c:f>
              <c:strCache>
                <c:ptCount val="6"/>
                <c:pt idx="0">
                  <c:v>Razdjel: 410 UPRAVNI ODJEL ZA POSLOVE GRADONAČELNIKA I GRADSKOG VIJEĆA</c:v>
                </c:pt>
                <c:pt idx="1">
                  <c:v>Razdjel: 420 UPRAVNI ODJEL ZA GRADNJU I KOMUNALNO GOSPODARSTVO</c:v>
                </c:pt>
                <c:pt idx="2">
                  <c:v>Razdjel: 430 UPRAVNI ODJEL ZA GOSPODARSKE DJELATNOSTI</c:v>
                </c:pt>
                <c:pt idx="3">
                  <c:v>Razdjel: 440 UPRAVNI ODJEL ZA DRUŠTVENE DJELATNOSTI</c:v>
                </c:pt>
                <c:pt idx="4">
                  <c:v>Razdjel: 450 ODJEL ZA UNUTARNJU REVIZIJU</c:v>
                </c:pt>
                <c:pt idx="5">
                  <c:v>Razdjel: 460 UPRAVNI ODJEL ZA FINANCIJE, PRORAČUN I JAVNU NABAVU</c:v>
                </c:pt>
              </c:strCache>
            </c:strRef>
          </c:cat>
          <c:val>
            <c:numRef>
              <c:f>'20240118085530'!$B$3:$B$8</c:f>
              <c:numCache>
                <c:formatCode>#,##0.00</c:formatCode>
                <c:ptCount val="6"/>
                <c:pt idx="0">
                  <c:v>5606636</c:v>
                </c:pt>
                <c:pt idx="1">
                  <c:v>54690848.189999998</c:v>
                </c:pt>
                <c:pt idx="2">
                  <c:v>2842837</c:v>
                </c:pt>
                <c:pt idx="3">
                  <c:v>38281611</c:v>
                </c:pt>
                <c:pt idx="4">
                  <c:v>3100</c:v>
                </c:pt>
                <c:pt idx="5">
                  <c:v>11090612</c:v>
                </c:pt>
              </c:numCache>
            </c:numRef>
          </c:val>
          <c:extLst>
            <c:ext xmlns:c16="http://schemas.microsoft.com/office/drawing/2014/chart" uri="{C3380CC4-5D6E-409C-BE32-E72D297353CC}">
              <c16:uniqueId val="{0000000C-D581-4DBF-925B-5B64CF6D86F9}"/>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extLst/>
  </c:chart>
  <c:spPr>
    <a:noFill/>
    <a:ln w="9525" cap="flat" cmpd="sng" algn="ctr">
      <a:solidFill>
        <a:schemeClr val="tx1">
          <a:lumMod val="15000"/>
          <a:lumOff val="85000"/>
        </a:schemeClr>
      </a:solidFill>
      <a:round/>
    </a:ln>
    <a:effectLst/>
  </c:spPr>
  <c:txPr>
    <a:bodyPr/>
    <a:lstStyle/>
    <a:p>
      <a:pPr>
        <a:defRPr sz="1000" b="0">
          <a:solidFill>
            <a:schemeClr val="tx1"/>
          </a:solidFill>
          <a:latin typeface="Times New Roman" panose="02020603050405020304" pitchFamily="18" charset="0"/>
          <a:cs typeface="Times New Roman" panose="02020603050405020304" pitchFamily="18" charset="0"/>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2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3">
      <cs:styleClr val="auto"/>
    </cs:fillRef>
    <cs:effectRef idx="3">
      <a:schemeClr val="dk1"/>
    </cs:effectRef>
    <cs:fontRef idx="minor">
      <a:schemeClr val="tx1"/>
    </cs:fontRef>
  </cs:dataPoint>
  <cs:dataPoint3D>
    <cs:lnRef idx="0"/>
    <cs:fillRef idx="1">
      <cs:styleClr val="auto"/>
    </cs:fillRef>
    <cs:effectRef idx="3">
      <a:schemeClr val="dk1"/>
    </cs:effectRef>
    <cs:fontRef idx="minor">
      <a:schemeClr val="tx1"/>
    </cs:fontRef>
  </cs:dataPoint3D>
  <cs:dataPointLine>
    <cs:lnRef idx="1">
      <cs:styleClr val="auto"/>
    </cs:lnRef>
    <cs:lineWidthScale>7</cs:lineWidthScale>
    <cs:fillRef idx="0"/>
    <cs:effectRef idx="0"/>
    <cs:fontRef idx="minor">
      <a:schemeClr val="tx1"/>
    </cs:fontRef>
    <cs:spPr>
      <a:ln cap="rnd">
        <a:round/>
      </a:ln>
    </cs:spPr>
  </cs:dataPointLine>
  <cs:dataPointMarker>
    <cs:lnRef idx="1">
      <cs:styleClr val="auto"/>
    </cs:lnRef>
    <cs:fillRef idx="3">
      <cs:styleClr val="auto"/>
    </cs:fillRef>
    <cs:effectRef idx="3">
      <a:schemeClr val="dk1"/>
    </cs:effectRef>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0"/>
    <cs:fillRef idx="3" mods="ignoreCSTransforms">
      <cs:styleClr val="0">
        <a:shade val="25000"/>
      </cs:styleClr>
    </cs:fillRef>
    <cs:effectRef idx="3">
      <a:schemeClr val="dk1"/>
    </cs:effectRef>
    <cs:fontRef idx="minor">
      <a:schemeClr val="tx1"/>
    </cs:fontRef>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0"/>
    <cs:fillRef idx="3" mods="ignoreCSTransforms">
      <cs:styleClr val="0">
        <a:tint val="25000"/>
      </cs:styleClr>
    </cs:fillRef>
    <cs:effectRef idx="3">
      <a:schemeClr val="dk1"/>
    </cs:effectRef>
    <cs:fontRef idx="minor">
      <a:schemeClr val="tx1"/>
    </cs:fontRef>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Crveno-narančasta">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Građanski">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13</Pages>
  <Words>2161</Words>
  <Characters>12320</Characters>
  <Application>Microsoft Office Word</Application>
  <DocSecurity>0</DocSecurity>
  <Lines>102</Lines>
  <Paragraphs>28</Paragraphs>
  <ScaleCrop>false</ScaleCrop>
  <Company>Grad Varaždin</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Strelec</dc:creator>
  <cp:keywords/>
  <dc:description/>
  <cp:lastModifiedBy>Tamara Strelec</cp:lastModifiedBy>
  <cp:revision>2</cp:revision>
  <cp:lastPrinted>2024-02-05T09:23:00Z</cp:lastPrinted>
  <dcterms:created xsi:type="dcterms:W3CDTF">2024-02-12T07:06:00Z</dcterms:created>
  <dcterms:modified xsi:type="dcterms:W3CDTF">2024-02-12T07:06:00Z</dcterms:modified>
</cp:coreProperties>
</file>